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right="420"/>
        <w:rPr>
          <w:rFonts w:hint="eastAsia"/>
          <w:b/>
        </w:rPr>
      </w:pPr>
      <w:r>
        <w:rPr>
          <w:rFonts w:hint="eastAsia"/>
          <w:b/>
        </w:rPr>
        <w:t>附件3</w:t>
      </w:r>
    </w:p>
    <w:p>
      <w:pPr>
        <w:spacing w:line="360" w:lineRule="auto"/>
        <w:jc w:val="center"/>
        <w:rPr>
          <w:b/>
          <w:kern w:val="0"/>
          <w:sz w:val="28"/>
          <w:szCs w:val="28"/>
        </w:rPr>
      </w:pPr>
      <w:r>
        <w:rPr>
          <w:b/>
          <w:sz w:val="28"/>
          <w:szCs w:val="28"/>
        </w:rPr>
        <w:t>中国</w:t>
      </w:r>
      <w:r>
        <w:rPr>
          <w:b/>
          <w:kern w:val="0"/>
          <w:sz w:val="28"/>
          <w:szCs w:val="28"/>
        </w:rPr>
        <w:t>毒理学会毒理研究质量保证专业委员会</w:t>
      </w:r>
    </w:p>
    <w:p>
      <w:pPr>
        <w:spacing w:line="360" w:lineRule="auto"/>
        <w:jc w:val="center"/>
        <w:rPr>
          <w:b/>
          <w:sz w:val="32"/>
          <w:szCs w:val="32"/>
        </w:rPr>
      </w:pPr>
      <w:r>
        <w:rPr>
          <w:b/>
          <w:sz w:val="32"/>
          <w:szCs w:val="32"/>
        </w:rPr>
        <w:t>GLP-QA专业能力考试制度</w:t>
      </w:r>
    </w:p>
    <w:p>
      <w:pPr>
        <w:rPr>
          <w:szCs w:val="21"/>
        </w:rPr>
      </w:pPr>
    </w:p>
    <w:p>
      <w:pPr>
        <w:spacing w:line="360" w:lineRule="auto"/>
        <w:ind w:firstLine="480" w:firstLineChars="200"/>
        <w:rPr>
          <w:sz w:val="24"/>
        </w:rPr>
      </w:pPr>
      <w:r>
        <w:rPr>
          <w:kern w:val="0"/>
          <w:sz w:val="24"/>
        </w:rPr>
        <w:t>中国毒理学会毒理研究质量保证专业委员会（简称：CSQA），作为</w:t>
      </w:r>
      <w:r>
        <w:rPr>
          <w:kern w:val="0"/>
          <w:sz w:val="24"/>
          <w:lang w:val="fr-FR"/>
        </w:rPr>
        <w:t>一个非盈利学术团体</w:t>
      </w:r>
      <w:r>
        <w:rPr>
          <w:kern w:val="0"/>
          <w:sz w:val="24"/>
        </w:rPr>
        <w:t>，</w:t>
      </w:r>
      <w:r>
        <w:rPr>
          <w:sz w:val="24"/>
        </w:rPr>
        <w:t>从2015年开始组织GLP-QA专业能力考试</w:t>
      </w:r>
      <w:r>
        <w:rPr>
          <w:kern w:val="0"/>
          <w:sz w:val="24"/>
          <w:lang w:val="fr-FR"/>
        </w:rPr>
        <w:t>。</w:t>
      </w:r>
      <w:r>
        <w:rPr>
          <w:sz w:val="24"/>
        </w:rPr>
        <w:t>组织该考试的目的为促进</w:t>
      </w:r>
      <w:r>
        <w:rPr>
          <w:rFonts w:hint="eastAsia"/>
          <w:sz w:val="24"/>
        </w:rPr>
        <w:t>质量保证（Quality Assurance，以下简称</w:t>
      </w:r>
      <w:r>
        <w:rPr>
          <w:sz w:val="24"/>
        </w:rPr>
        <w:t>QA</w:t>
      </w:r>
      <w:r>
        <w:rPr>
          <w:rFonts w:hint="eastAsia"/>
          <w:sz w:val="24"/>
        </w:rPr>
        <w:t>）</w:t>
      </w:r>
      <w:r>
        <w:rPr>
          <w:sz w:val="24"/>
        </w:rPr>
        <w:t>从业人员知识和经验的积累、提高和更新，加强QA从业人员对GLP理念</w:t>
      </w:r>
      <w:r>
        <w:rPr>
          <w:rFonts w:hint="eastAsia"/>
          <w:sz w:val="24"/>
        </w:rPr>
        <w:t>的</w:t>
      </w:r>
      <w:r>
        <w:rPr>
          <w:sz w:val="24"/>
        </w:rPr>
        <w:t xml:space="preserve">理解，以及提升 QA从业人员及所在机构的业内影响力和市场竞争力。CSQA </w:t>
      </w:r>
      <w:r>
        <w:rPr>
          <w:sz w:val="24"/>
          <w:lang w:val="fr-FR"/>
        </w:rPr>
        <w:t>GLP-QA</w:t>
      </w:r>
      <w:r>
        <w:rPr>
          <w:sz w:val="24"/>
        </w:rPr>
        <w:t>专业能力考试小组负责考试的出题、管理、考试结果的</w:t>
      </w:r>
      <w:r>
        <w:rPr>
          <w:rFonts w:hint="eastAsia"/>
          <w:sz w:val="24"/>
        </w:rPr>
        <w:t>通知、备案登记</w:t>
      </w:r>
      <w:r>
        <w:rPr>
          <w:sz w:val="24"/>
        </w:rPr>
        <w:t>及再</w:t>
      </w:r>
      <w:r>
        <w:rPr>
          <w:rFonts w:hint="eastAsia"/>
          <w:sz w:val="24"/>
        </w:rPr>
        <w:t>登记</w:t>
      </w:r>
      <w:r>
        <w:rPr>
          <w:sz w:val="24"/>
        </w:rPr>
        <w:t xml:space="preserve">等。该小组由组长、副组长、1~3名组员组成。小组成员在任期间不得参加此考试。CSQA </w:t>
      </w:r>
      <w:r>
        <w:rPr>
          <w:sz w:val="24"/>
          <w:lang w:val="fr-FR"/>
        </w:rPr>
        <w:t>GLP</w:t>
      </w:r>
      <w:r>
        <w:rPr>
          <w:sz w:val="24"/>
        </w:rPr>
        <w:t>-QA专业能力考试</w:t>
      </w:r>
      <w:r>
        <w:rPr>
          <w:kern w:val="0"/>
          <w:sz w:val="24"/>
        </w:rPr>
        <w:t>对所有相关QA</w:t>
      </w:r>
      <w:r>
        <w:rPr>
          <w:rFonts w:hint="eastAsia"/>
          <w:kern w:val="0"/>
          <w:sz w:val="24"/>
        </w:rPr>
        <w:t>从业</w:t>
      </w:r>
      <w:r>
        <w:rPr>
          <w:kern w:val="0"/>
          <w:sz w:val="24"/>
        </w:rPr>
        <w:t>人员开放，没有性别、年龄等限制。</w:t>
      </w:r>
    </w:p>
    <w:p>
      <w:pPr>
        <w:spacing w:line="360" w:lineRule="auto"/>
        <w:ind w:firstLine="480" w:firstLineChars="200"/>
        <w:rPr>
          <w:kern w:val="0"/>
          <w:sz w:val="24"/>
        </w:rPr>
      </w:pPr>
    </w:p>
    <w:p>
      <w:pPr>
        <w:autoSpaceDE w:val="0"/>
        <w:autoSpaceDN w:val="0"/>
        <w:adjustRightInd w:val="0"/>
        <w:spacing w:line="360" w:lineRule="auto"/>
        <w:jc w:val="left"/>
        <w:rPr>
          <w:b/>
          <w:sz w:val="24"/>
        </w:rPr>
      </w:pPr>
      <w:r>
        <w:rPr>
          <w:b/>
          <w:sz w:val="24"/>
        </w:rPr>
        <w:t>1   GLP-QA专业能力考试</w:t>
      </w:r>
    </w:p>
    <w:p>
      <w:pPr>
        <w:autoSpaceDE w:val="0"/>
        <w:autoSpaceDN w:val="0"/>
        <w:adjustRightInd w:val="0"/>
        <w:spacing w:line="360" w:lineRule="auto"/>
        <w:jc w:val="left"/>
        <w:rPr>
          <w:b/>
          <w:kern w:val="0"/>
          <w:sz w:val="24"/>
        </w:rPr>
      </w:pPr>
      <w:r>
        <w:rPr>
          <w:b/>
          <w:kern w:val="0"/>
          <w:sz w:val="24"/>
        </w:rPr>
        <w:t>1.1  考试范围</w:t>
      </w:r>
    </w:p>
    <w:p>
      <w:pPr>
        <w:spacing w:line="360" w:lineRule="auto"/>
        <w:ind w:firstLine="480" w:firstLineChars="200"/>
        <w:rPr>
          <w:sz w:val="24"/>
        </w:rPr>
      </w:pPr>
      <w:r>
        <w:rPr>
          <w:sz w:val="24"/>
        </w:rPr>
        <w:t>要求主要对CFDA GLP和OECD GLP理解和灵活运用。</w:t>
      </w:r>
    </w:p>
    <w:p>
      <w:pPr>
        <w:spacing w:line="360" w:lineRule="auto"/>
        <w:rPr>
          <w:b/>
          <w:sz w:val="24"/>
        </w:rPr>
      </w:pPr>
      <w:r>
        <w:rPr>
          <w:b/>
          <w:sz w:val="24"/>
        </w:rPr>
        <w:t>1.2  申请考试必须具备的条件</w:t>
      </w:r>
    </w:p>
    <w:p>
      <w:pPr>
        <w:spacing w:line="360" w:lineRule="auto"/>
        <w:ind w:firstLine="480" w:firstLineChars="200"/>
        <w:rPr>
          <w:sz w:val="24"/>
        </w:rPr>
      </w:pPr>
      <w:r>
        <w:rPr>
          <w:sz w:val="24"/>
        </w:rPr>
        <w:t>申请者在考试日期前必须有2年的全职QA工作经验，并由工作单位出具证明。申请者须填写《CSQA GLP-QA专业能力考试申请表》（见附件1）。</w:t>
      </w:r>
    </w:p>
    <w:p>
      <w:pPr>
        <w:spacing w:line="360" w:lineRule="auto"/>
        <w:rPr>
          <w:sz w:val="24"/>
        </w:rPr>
      </w:pPr>
      <w:r>
        <w:rPr>
          <w:b/>
          <w:sz w:val="24"/>
        </w:rPr>
        <w:t>1.3  考试形式和频率</w:t>
      </w:r>
    </w:p>
    <w:p>
      <w:pPr>
        <w:autoSpaceDE w:val="0"/>
        <w:autoSpaceDN w:val="0"/>
        <w:adjustRightInd w:val="0"/>
        <w:spacing w:line="360" w:lineRule="auto"/>
        <w:ind w:firstLine="480" w:firstLineChars="200"/>
        <w:jc w:val="left"/>
        <w:rPr>
          <w:kern w:val="0"/>
          <w:sz w:val="24"/>
        </w:rPr>
      </w:pPr>
      <w:r>
        <w:rPr>
          <w:sz w:val="24"/>
        </w:rPr>
        <w:t>目前考试形式为</w:t>
      </w:r>
      <w:r>
        <w:rPr>
          <w:bCs/>
          <w:sz w:val="24"/>
        </w:rPr>
        <w:t>纸考，一般每2年1次，通常与学术会议同期举行，一般</w:t>
      </w:r>
      <w:r>
        <w:rPr>
          <w:color w:val="000000"/>
          <w:kern w:val="0"/>
          <w:sz w:val="24"/>
        </w:rPr>
        <w:t>提前3个月通知考试时间和地点，特殊情况另行通知。</w:t>
      </w:r>
      <w:r>
        <w:rPr>
          <w:bCs/>
          <w:sz w:val="24"/>
        </w:rPr>
        <w:t>纸考结果在考试结束后3个月内通知。</w:t>
      </w:r>
    </w:p>
    <w:p>
      <w:pPr>
        <w:autoSpaceDE w:val="0"/>
        <w:autoSpaceDN w:val="0"/>
        <w:adjustRightInd w:val="0"/>
        <w:spacing w:line="360" w:lineRule="auto"/>
        <w:jc w:val="left"/>
        <w:rPr>
          <w:rFonts w:hint="eastAsia"/>
          <w:b/>
          <w:kern w:val="0"/>
          <w:sz w:val="24"/>
        </w:rPr>
      </w:pPr>
      <w:r>
        <w:rPr>
          <w:b/>
          <w:kern w:val="0"/>
          <w:sz w:val="24"/>
        </w:rPr>
        <w:t>1.4  考试费管理</w:t>
      </w:r>
    </w:p>
    <w:p>
      <w:pPr>
        <w:autoSpaceDE w:val="0"/>
        <w:autoSpaceDN w:val="0"/>
        <w:adjustRightInd w:val="0"/>
        <w:spacing w:line="360" w:lineRule="auto"/>
        <w:ind w:firstLine="480" w:firstLineChars="200"/>
        <w:jc w:val="left"/>
        <w:rPr>
          <w:kern w:val="0"/>
          <w:sz w:val="24"/>
        </w:rPr>
      </w:pPr>
      <w:r>
        <w:rPr>
          <w:kern w:val="0"/>
          <w:sz w:val="24"/>
        </w:rPr>
        <w:t>考试费</w:t>
      </w:r>
      <w:r>
        <w:rPr>
          <w:sz w:val="24"/>
        </w:rPr>
        <w:t>800元人民币。如果申请者为中国毒理学会会员，考试费为600元人民币。</w:t>
      </w:r>
    </w:p>
    <w:p>
      <w:pPr>
        <w:autoSpaceDE w:val="0"/>
        <w:autoSpaceDN w:val="0"/>
        <w:adjustRightInd w:val="0"/>
        <w:spacing w:line="360" w:lineRule="auto"/>
        <w:ind w:firstLine="480" w:firstLineChars="200"/>
        <w:jc w:val="left"/>
        <w:rPr>
          <w:kern w:val="0"/>
          <w:sz w:val="24"/>
        </w:rPr>
      </w:pPr>
      <w:r>
        <w:rPr>
          <w:kern w:val="0"/>
          <w:sz w:val="24"/>
        </w:rPr>
        <w:t>申请考试后如不能如期参加考试，考试费可以转为下次的考试费。</w:t>
      </w:r>
    </w:p>
    <w:p>
      <w:pPr>
        <w:autoSpaceDE w:val="0"/>
        <w:autoSpaceDN w:val="0"/>
        <w:adjustRightInd w:val="0"/>
        <w:spacing w:line="360" w:lineRule="auto"/>
        <w:jc w:val="left"/>
        <w:rPr>
          <w:b/>
          <w:kern w:val="0"/>
          <w:sz w:val="24"/>
        </w:rPr>
      </w:pPr>
      <w:r>
        <w:rPr>
          <w:b/>
          <w:kern w:val="0"/>
          <w:sz w:val="24"/>
        </w:rPr>
        <w:t>1.5  考试通过标准</w:t>
      </w:r>
    </w:p>
    <w:p>
      <w:pPr>
        <w:autoSpaceDE w:val="0"/>
        <w:autoSpaceDN w:val="0"/>
        <w:adjustRightInd w:val="0"/>
        <w:spacing w:line="360" w:lineRule="auto"/>
        <w:ind w:firstLine="480" w:firstLineChars="200"/>
        <w:jc w:val="left"/>
        <w:rPr>
          <w:kern w:val="0"/>
          <w:sz w:val="24"/>
        </w:rPr>
      </w:pPr>
      <w:r>
        <w:rPr>
          <w:sz w:val="24"/>
        </w:rPr>
        <w:t>考试通过标准根据每次考试不高于1/2通过比例而且分数不低于75分的原则确定。通过者授予CSQA GLP-QA专业能力考试合格证书</w:t>
      </w:r>
      <w:r>
        <w:rPr>
          <w:rFonts w:hint="eastAsia"/>
          <w:sz w:val="24"/>
        </w:rPr>
        <w:t>，并在质量保证专业委员会备案登记</w:t>
      </w:r>
      <w:r>
        <w:rPr>
          <w:sz w:val="24"/>
        </w:rPr>
        <w:t>。</w:t>
      </w:r>
    </w:p>
    <w:p>
      <w:pPr>
        <w:autoSpaceDE w:val="0"/>
        <w:autoSpaceDN w:val="0"/>
        <w:adjustRightInd w:val="0"/>
        <w:spacing w:line="360" w:lineRule="auto"/>
        <w:jc w:val="left"/>
        <w:rPr>
          <w:b/>
          <w:kern w:val="0"/>
          <w:sz w:val="24"/>
        </w:rPr>
      </w:pPr>
      <w:r>
        <w:rPr>
          <w:b/>
          <w:kern w:val="0"/>
          <w:sz w:val="24"/>
        </w:rPr>
        <w:t>1.6  重考</w:t>
      </w:r>
    </w:p>
    <w:p>
      <w:pPr>
        <w:spacing w:line="360" w:lineRule="auto"/>
        <w:ind w:firstLine="480" w:firstLineChars="200"/>
        <w:rPr>
          <w:kern w:val="0"/>
          <w:sz w:val="24"/>
        </w:rPr>
      </w:pPr>
      <w:r>
        <w:rPr>
          <w:kern w:val="0"/>
          <w:sz w:val="24"/>
        </w:rPr>
        <w:t>考试不通过的，不限制重考次数，但必须重新提交考试申请和费用。</w:t>
      </w:r>
    </w:p>
    <w:p>
      <w:pPr>
        <w:spacing w:line="360" w:lineRule="auto"/>
        <w:rPr>
          <w:rFonts w:hint="eastAsia"/>
          <w:b/>
          <w:sz w:val="24"/>
        </w:rPr>
      </w:pPr>
      <w:r>
        <w:rPr>
          <w:b/>
          <w:sz w:val="24"/>
        </w:rPr>
        <w:t>1.7  考试内容</w:t>
      </w:r>
      <w:r>
        <w:rPr>
          <w:rFonts w:hint="eastAsia"/>
          <w:b/>
          <w:sz w:val="24"/>
        </w:rPr>
        <w:t>、</w:t>
      </w:r>
      <w:r>
        <w:rPr>
          <w:b/>
          <w:sz w:val="24"/>
        </w:rPr>
        <w:t>题目类型</w:t>
      </w:r>
      <w:r>
        <w:rPr>
          <w:rFonts w:hint="eastAsia"/>
          <w:b/>
          <w:sz w:val="24"/>
        </w:rPr>
        <w:t>和答题时长</w:t>
      </w:r>
    </w:p>
    <w:p>
      <w:pPr>
        <w:spacing w:line="360" w:lineRule="auto"/>
        <w:ind w:firstLine="480" w:firstLineChars="200"/>
        <w:rPr>
          <w:kern w:val="0"/>
          <w:sz w:val="24"/>
        </w:rPr>
      </w:pPr>
      <w:r>
        <w:rPr>
          <w:sz w:val="24"/>
        </w:rPr>
        <w:t>主要围绕CFDA GLP 和OECD GLP要求及相关资料出题。考试内容主要包括遵从性评价</w:t>
      </w:r>
      <w:r>
        <w:rPr>
          <w:bCs/>
          <w:kern w:val="0"/>
          <w:sz w:val="24"/>
        </w:rPr>
        <w:t>、管理及应用三方面。</w:t>
      </w:r>
    </w:p>
    <w:p>
      <w:pPr>
        <w:spacing w:line="360" w:lineRule="auto"/>
        <w:ind w:firstLine="480" w:firstLineChars="200"/>
        <w:rPr>
          <w:rFonts w:hint="eastAsia"/>
          <w:sz w:val="24"/>
        </w:rPr>
      </w:pPr>
      <w:r>
        <w:rPr>
          <w:sz w:val="24"/>
        </w:rPr>
        <w:t>题目类型主要有记忆、应用和分析三类。共100道多项选择题，每道题最终答案为一个。</w:t>
      </w:r>
    </w:p>
    <w:p>
      <w:pPr>
        <w:spacing w:line="360" w:lineRule="auto"/>
        <w:ind w:firstLine="480" w:firstLineChars="200"/>
        <w:rPr>
          <w:rFonts w:hint="eastAsia"/>
          <w:sz w:val="24"/>
        </w:rPr>
      </w:pPr>
      <w:r>
        <w:rPr>
          <w:rFonts w:hint="eastAsia"/>
          <w:sz w:val="24"/>
        </w:rPr>
        <w:t>答题时长为2小时。</w:t>
      </w:r>
    </w:p>
    <w:p>
      <w:pPr>
        <w:spacing w:line="360" w:lineRule="auto"/>
        <w:rPr>
          <w:b/>
          <w:sz w:val="24"/>
        </w:rPr>
      </w:pPr>
      <w:r>
        <w:rPr>
          <w:b/>
          <w:sz w:val="24"/>
        </w:rPr>
        <w:t>1.8  考试结果报告</w:t>
      </w:r>
    </w:p>
    <w:p>
      <w:pPr>
        <w:spacing w:line="360" w:lineRule="auto"/>
        <w:ind w:firstLine="480" w:firstLineChars="200"/>
        <w:rPr>
          <w:sz w:val="24"/>
        </w:rPr>
      </w:pPr>
      <w:r>
        <w:rPr>
          <w:sz w:val="24"/>
        </w:rPr>
        <w:t>考试结果</w:t>
      </w:r>
      <w:r>
        <w:rPr>
          <w:rFonts w:hint="eastAsia"/>
          <w:sz w:val="24"/>
        </w:rPr>
        <w:t>于</w:t>
      </w:r>
      <w:r>
        <w:rPr>
          <w:sz w:val="24"/>
        </w:rPr>
        <w:t>考试后3个月内通过考试专用邮箱</w:t>
      </w:r>
      <w:r>
        <w:rPr>
          <w:rFonts w:hint="eastAsia"/>
          <w:sz w:val="24"/>
        </w:rPr>
        <w:t>（</w:t>
      </w:r>
      <w:r>
        <w:rPr>
          <w:rFonts w:hint="eastAsia"/>
          <w:b/>
          <w:sz w:val="24"/>
        </w:rPr>
        <w:t>CSQA_QAP@163.com</w:t>
      </w:r>
      <w:r>
        <w:rPr>
          <w:rFonts w:hint="eastAsia"/>
          <w:sz w:val="24"/>
        </w:rPr>
        <w:t>）进行通知</w:t>
      </w:r>
      <w:r>
        <w:rPr>
          <w:sz w:val="24"/>
        </w:rPr>
        <w:t>，</w:t>
      </w:r>
      <w:r>
        <w:rPr>
          <w:rFonts w:hint="eastAsia"/>
          <w:sz w:val="24"/>
        </w:rPr>
        <w:t>且只</w:t>
      </w:r>
      <w:r>
        <w:rPr>
          <w:sz w:val="24"/>
        </w:rPr>
        <w:t>报告给参考者本人</w:t>
      </w:r>
      <w:r>
        <w:rPr>
          <w:rFonts w:hint="eastAsia"/>
          <w:sz w:val="24"/>
        </w:rPr>
        <w:t>。</w:t>
      </w:r>
      <w:r>
        <w:rPr>
          <w:sz w:val="24"/>
        </w:rPr>
        <w:t>考试结果不能</w:t>
      </w:r>
      <w:r>
        <w:rPr>
          <w:rFonts w:hint="eastAsia"/>
          <w:sz w:val="24"/>
        </w:rPr>
        <w:t>通过其他</w:t>
      </w:r>
      <w:r>
        <w:rPr>
          <w:sz w:val="24"/>
        </w:rPr>
        <w:t>方式获得</w:t>
      </w:r>
      <w:r>
        <w:rPr>
          <w:rFonts w:hint="eastAsia"/>
          <w:sz w:val="24"/>
        </w:rPr>
        <w:t>。</w:t>
      </w:r>
      <w:r>
        <w:rPr>
          <w:sz w:val="24"/>
        </w:rPr>
        <w:t>考试合格证书以邮寄的方式送达通过考试者本人。</w:t>
      </w:r>
    </w:p>
    <w:p>
      <w:pPr>
        <w:autoSpaceDE w:val="0"/>
        <w:autoSpaceDN w:val="0"/>
        <w:adjustRightInd w:val="0"/>
        <w:spacing w:line="360" w:lineRule="auto"/>
        <w:jc w:val="left"/>
        <w:rPr>
          <w:kern w:val="0"/>
          <w:sz w:val="24"/>
        </w:rPr>
      </w:pPr>
      <w:r>
        <w:rPr>
          <w:b/>
          <w:kern w:val="0"/>
          <w:sz w:val="24"/>
        </w:rPr>
        <w:t xml:space="preserve">1.9 </w:t>
      </w:r>
      <w:r>
        <w:rPr>
          <w:kern w:val="0"/>
          <w:sz w:val="24"/>
        </w:rPr>
        <w:t xml:space="preserve"> </w:t>
      </w:r>
      <w:r>
        <w:rPr>
          <w:b/>
          <w:sz w:val="24"/>
        </w:rPr>
        <w:t>保密性</w:t>
      </w:r>
    </w:p>
    <w:p>
      <w:pPr>
        <w:tabs>
          <w:tab w:val="left" w:pos="426"/>
        </w:tabs>
        <w:autoSpaceDE w:val="0"/>
        <w:autoSpaceDN w:val="0"/>
        <w:adjustRightInd w:val="0"/>
        <w:spacing w:line="360" w:lineRule="auto"/>
        <w:ind w:firstLine="480" w:firstLineChars="200"/>
        <w:jc w:val="left"/>
        <w:rPr>
          <w:kern w:val="0"/>
          <w:sz w:val="24"/>
          <w:highlight w:val="cyan"/>
        </w:rPr>
      </w:pPr>
      <w:r>
        <w:rPr>
          <w:kern w:val="0"/>
          <w:sz w:val="24"/>
        </w:rPr>
        <w:t>CSQA GLP-QA</w:t>
      </w:r>
      <w:r>
        <w:rPr>
          <w:sz w:val="24"/>
        </w:rPr>
        <w:t>专业能力考试</w:t>
      </w:r>
      <w:r>
        <w:rPr>
          <w:kern w:val="0"/>
          <w:sz w:val="24"/>
        </w:rPr>
        <w:t>小组成员、</w:t>
      </w:r>
      <w:r>
        <w:rPr>
          <w:rFonts w:hAnsi="宋体"/>
          <w:spacing w:val="10"/>
          <w:kern w:val="0"/>
          <w:sz w:val="24"/>
        </w:rPr>
        <w:t>所有参加</w:t>
      </w:r>
      <w:r>
        <w:rPr>
          <w:kern w:val="0"/>
          <w:sz w:val="24"/>
        </w:rPr>
        <w:t>CSQA GLP-QA</w:t>
      </w:r>
      <w:r>
        <w:rPr>
          <w:sz w:val="24"/>
        </w:rPr>
        <w:t>专业能力考试</w:t>
      </w:r>
      <w:r>
        <w:rPr>
          <w:kern w:val="0"/>
          <w:sz w:val="24"/>
        </w:rPr>
        <w:t>的人员以及有可能接触CSQA GLP-QA</w:t>
      </w:r>
      <w:r>
        <w:rPr>
          <w:sz w:val="24"/>
        </w:rPr>
        <w:t>专业能力考试</w:t>
      </w:r>
      <w:r>
        <w:rPr>
          <w:kern w:val="0"/>
          <w:sz w:val="24"/>
        </w:rPr>
        <w:t>正式试卷和/或相应答案的人员必须签署《CSQA GLP-QA专业能力考试承诺书》（见附件2）。</w:t>
      </w:r>
    </w:p>
    <w:p>
      <w:pPr>
        <w:spacing w:line="360" w:lineRule="auto"/>
        <w:rPr>
          <w:sz w:val="24"/>
        </w:rPr>
      </w:pPr>
    </w:p>
    <w:p>
      <w:pPr>
        <w:spacing w:line="360" w:lineRule="auto"/>
        <w:rPr>
          <w:rFonts w:hint="eastAsia"/>
          <w:b/>
          <w:sz w:val="24"/>
        </w:rPr>
      </w:pPr>
      <w:r>
        <w:rPr>
          <w:b/>
          <w:sz w:val="24"/>
        </w:rPr>
        <w:t>2   再</w:t>
      </w:r>
      <w:r>
        <w:rPr>
          <w:rFonts w:hint="eastAsia"/>
          <w:b/>
          <w:sz w:val="24"/>
        </w:rPr>
        <w:t>登记</w:t>
      </w:r>
    </w:p>
    <w:p>
      <w:pPr>
        <w:spacing w:line="360" w:lineRule="auto"/>
        <w:rPr>
          <w:b/>
          <w:sz w:val="24"/>
        </w:rPr>
      </w:pPr>
      <w:r>
        <w:rPr>
          <w:b/>
          <w:sz w:val="24"/>
        </w:rPr>
        <w:t>2.1  目的</w:t>
      </w:r>
    </w:p>
    <w:p>
      <w:pPr>
        <w:pStyle w:val="3"/>
        <w:spacing w:after="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GLP-QA专业能力</w:t>
      </w:r>
      <w:r>
        <w:rPr>
          <w:rFonts w:ascii="Times New Roman" w:hAnsi="Times New Roman" w:cs="Times New Roman"/>
          <w:color w:val="auto"/>
          <w:sz w:val="24"/>
          <w:szCs w:val="24"/>
        </w:rPr>
        <w:t>再</w:t>
      </w:r>
      <w:r>
        <w:rPr>
          <w:rFonts w:hint="eastAsia" w:ascii="Times New Roman" w:hAnsi="Times New Roman" w:cs="Times New Roman"/>
          <w:color w:val="auto"/>
          <w:sz w:val="24"/>
          <w:szCs w:val="24"/>
        </w:rPr>
        <w:t>登记</w:t>
      </w:r>
      <w:r>
        <w:rPr>
          <w:rFonts w:ascii="Times New Roman" w:hAnsi="Times New Roman" w:cs="Times New Roman"/>
          <w:sz w:val="24"/>
          <w:szCs w:val="24"/>
        </w:rPr>
        <w:t>是由CSQA建立的在质量保证领域内不断提高的制度，QA人员必须持续不断地充实自己的知识积累，掌握最新的知识理论。</w:t>
      </w:r>
      <w:r>
        <w:rPr>
          <w:rFonts w:ascii="Times New Roman" w:hAnsi="Times New Roman" w:cs="Times New Roman"/>
          <w:color w:val="auto"/>
          <w:sz w:val="24"/>
          <w:szCs w:val="24"/>
        </w:rPr>
        <w:t>再</w:t>
      </w:r>
      <w:r>
        <w:rPr>
          <w:rFonts w:hint="eastAsia" w:ascii="Times New Roman" w:hAnsi="Times New Roman" w:cs="Times New Roman"/>
          <w:color w:val="auto"/>
          <w:sz w:val="24"/>
          <w:szCs w:val="24"/>
        </w:rPr>
        <w:t>登记</w:t>
      </w:r>
      <w:r>
        <w:rPr>
          <w:rFonts w:ascii="Times New Roman" w:hAnsi="Times New Roman" w:cs="Times New Roman"/>
          <w:sz w:val="24"/>
          <w:szCs w:val="24"/>
        </w:rPr>
        <w:t>的目的首先</w:t>
      </w:r>
      <w:r>
        <w:rPr>
          <w:rFonts w:hint="eastAsia" w:ascii="Times New Roman" w:hAnsi="Times New Roman" w:cs="Times New Roman"/>
          <w:sz w:val="24"/>
          <w:szCs w:val="24"/>
        </w:rPr>
        <w:t>是</w:t>
      </w:r>
      <w:r>
        <w:rPr>
          <w:rFonts w:ascii="Times New Roman" w:hAnsi="Times New Roman" w:cs="Times New Roman"/>
          <w:sz w:val="24"/>
          <w:szCs w:val="24"/>
        </w:rPr>
        <w:t>对已通过专业能力考试者在质量管理领域继续教育的认可，其次</w:t>
      </w:r>
      <w:r>
        <w:rPr>
          <w:rFonts w:hint="eastAsia" w:ascii="Times New Roman" w:hAnsi="Times New Roman" w:cs="Times New Roman"/>
          <w:sz w:val="24"/>
          <w:szCs w:val="24"/>
        </w:rPr>
        <w:t>为了</w:t>
      </w:r>
      <w:r>
        <w:rPr>
          <w:rFonts w:ascii="Times New Roman" w:hAnsi="Times New Roman" w:cs="Times New Roman"/>
          <w:sz w:val="24"/>
          <w:szCs w:val="24"/>
        </w:rPr>
        <w:t>确保通过考试者在其专业领域的知识积累与更新。</w:t>
      </w:r>
    </w:p>
    <w:p>
      <w:pPr>
        <w:pStyle w:val="2"/>
        <w:spacing w:after="0" w:line="360" w:lineRule="auto"/>
        <w:rPr>
          <w:rFonts w:ascii="Times New Roman" w:hAnsi="Times New Roman" w:cs="Times New Roman"/>
          <w:color w:val="auto"/>
          <w:sz w:val="24"/>
          <w:szCs w:val="24"/>
        </w:rPr>
      </w:pPr>
      <w:r>
        <w:rPr>
          <w:rFonts w:ascii="Times New Roman" w:hAnsi="Times New Roman" w:cs="Times New Roman"/>
          <w:color w:val="auto"/>
          <w:sz w:val="24"/>
          <w:szCs w:val="24"/>
        </w:rPr>
        <w:t>2.2  要求</w:t>
      </w:r>
    </w:p>
    <w:p>
      <w:pPr>
        <w:pStyle w:val="3"/>
        <w:spacing w:after="0" w:line="360" w:lineRule="auto"/>
        <w:ind w:firstLine="480" w:firstLineChars="200"/>
        <w:rPr>
          <w:rFonts w:hint="eastAsia" w:ascii="Times New Roman" w:hAnsi="Times New Roman" w:cs="Times New Roman"/>
          <w:sz w:val="24"/>
          <w:szCs w:val="24"/>
        </w:rPr>
      </w:pPr>
      <w:r>
        <w:rPr>
          <w:rFonts w:ascii="Times New Roman" w:hAnsi="Times New Roman" w:cs="Times New Roman"/>
          <w:color w:val="auto"/>
          <w:sz w:val="24"/>
          <w:szCs w:val="24"/>
        </w:rPr>
        <w:t>需要再</w:t>
      </w:r>
      <w:r>
        <w:rPr>
          <w:rFonts w:hint="eastAsia" w:ascii="Times New Roman" w:hAnsi="Times New Roman" w:cs="Times New Roman"/>
          <w:color w:val="auto"/>
          <w:sz w:val="24"/>
          <w:szCs w:val="24"/>
        </w:rPr>
        <w:t>登记</w:t>
      </w:r>
      <w:r>
        <w:rPr>
          <w:rFonts w:ascii="Times New Roman" w:hAnsi="Times New Roman" w:cs="Times New Roman"/>
          <w:color w:val="auto"/>
          <w:sz w:val="24"/>
          <w:szCs w:val="24"/>
        </w:rPr>
        <w:t>者在3年之内</w:t>
      </w:r>
      <w:r>
        <w:rPr>
          <w:rFonts w:hint="eastAsia" w:ascii="Times New Roman" w:hAnsi="Times New Roman" w:cs="Times New Roman"/>
          <w:color w:val="auto"/>
          <w:sz w:val="24"/>
          <w:szCs w:val="24"/>
        </w:rPr>
        <w:t>应</w:t>
      </w:r>
      <w:r>
        <w:rPr>
          <w:rFonts w:ascii="Times New Roman" w:hAnsi="Times New Roman" w:cs="Times New Roman"/>
          <w:color w:val="auto"/>
          <w:sz w:val="24"/>
          <w:szCs w:val="24"/>
        </w:rPr>
        <w:t>至少完成继续教育18学分，其中至少9分是规定的相关GLP活动，另外9分</w:t>
      </w:r>
      <w:r>
        <w:rPr>
          <w:rFonts w:ascii="Times New Roman" w:hAnsi="Times New Roman" w:cs="Times New Roman"/>
          <w:sz w:val="24"/>
          <w:szCs w:val="24"/>
        </w:rPr>
        <w:t>是其他相关活动如：在各类专业期刊、专业会议上发表的摘要或论文，参与编写专著，参加相关专业委员会组织的培训等讲习班，参加正式的教育，参加其他专业委员会工作等</w:t>
      </w:r>
      <w:r>
        <w:rPr>
          <w:rFonts w:hint="eastAsia" w:ascii="Times New Roman" w:hAnsi="Times New Roman" w:cs="Times New Roman"/>
          <w:sz w:val="24"/>
          <w:szCs w:val="24"/>
        </w:rPr>
        <w:t>。</w:t>
      </w:r>
    </w:p>
    <w:p>
      <w:pPr>
        <w:pStyle w:val="3"/>
        <w:spacing w:after="0" w:line="360" w:lineRule="auto"/>
        <w:ind w:firstLine="480" w:firstLineChars="200"/>
        <w:rPr>
          <w:rFonts w:ascii="Times New Roman" w:hAnsi="Times New Roman" w:cs="Times New Roman"/>
          <w:sz w:val="24"/>
          <w:szCs w:val="24"/>
        </w:rPr>
      </w:pPr>
      <w:r>
        <w:rPr>
          <w:rFonts w:hint="eastAsia" w:ascii="Times New Roman" w:hAnsi="Times New Roman" w:cs="Times New Roman"/>
          <w:color w:val="auto"/>
          <w:sz w:val="24"/>
          <w:szCs w:val="24"/>
        </w:rPr>
        <w:t>申请</w:t>
      </w:r>
      <w:r>
        <w:rPr>
          <w:rFonts w:ascii="Times New Roman" w:hAnsi="Times New Roman" w:cs="Times New Roman"/>
          <w:color w:val="auto"/>
          <w:sz w:val="24"/>
          <w:szCs w:val="24"/>
        </w:rPr>
        <w:t>再</w:t>
      </w:r>
      <w:r>
        <w:rPr>
          <w:rFonts w:hint="eastAsia" w:ascii="Times New Roman" w:hAnsi="Times New Roman" w:cs="Times New Roman"/>
          <w:color w:val="auto"/>
          <w:sz w:val="24"/>
          <w:szCs w:val="24"/>
        </w:rPr>
        <w:t>登记</w:t>
      </w:r>
      <w:r>
        <w:rPr>
          <w:rFonts w:ascii="Times New Roman" w:hAnsi="Times New Roman" w:cs="Times New Roman"/>
          <w:sz w:val="24"/>
          <w:szCs w:val="24"/>
        </w:rPr>
        <w:t>者必须提交明确的分数记录证据，这些支持性文件必须清晰、简明、可追溯/可检验和完整。没有记录佐证的分数</w:t>
      </w:r>
      <w:r>
        <w:rPr>
          <w:rFonts w:hint="eastAsia" w:ascii="Times New Roman" w:hAnsi="Times New Roman" w:cs="Times New Roman"/>
          <w:sz w:val="24"/>
          <w:szCs w:val="24"/>
        </w:rPr>
        <w:t>将</w:t>
      </w:r>
      <w:r>
        <w:rPr>
          <w:rFonts w:ascii="Times New Roman" w:hAnsi="Times New Roman" w:cs="Times New Roman"/>
          <w:sz w:val="24"/>
          <w:szCs w:val="24"/>
        </w:rPr>
        <w:t>不被接受。</w:t>
      </w:r>
      <w:r>
        <w:rPr>
          <w:rFonts w:ascii="Times New Roman" w:hAnsi="Times New Roman" w:cs="Times New Roman"/>
          <w:color w:val="auto"/>
          <w:sz w:val="24"/>
          <w:szCs w:val="24"/>
        </w:rPr>
        <w:t>再</w:t>
      </w:r>
      <w:r>
        <w:rPr>
          <w:rFonts w:hint="eastAsia" w:ascii="Times New Roman" w:hAnsi="Times New Roman" w:cs="Times New Roman"/>
          <w:color w:val="auto"/>
          <w:sz w:val="24"/>
          <w:szCs w:val="24"/>
        </w:rPr>
        <w:t>登记</w:t>
      </w:r>
      <w:r>
        <w:rPr>
          <w:rFonts w:ascii="Times New Roman" w:hAnsi="Times New Roman" w:cs="Times New Roman"/>
          <w:sz w:val="24"/>
          <w:szCs w:val="24"/>
        </w:rPr>
        <w:t>过程是在诚信原则下进行</w:t>
      </w:r>
      <w:r>
        <w:rPr>
          <w:rFonts w:hint="eastAsia" w:ascii="Times New Roman" w:hAnsi="Times New Roman" w:cs="Times New Roman"/>
          <w:sz w:val="24"/>
          <w:szCs w:val="24"/>
        </w:rPr>
        <w:t>的</w:t>
      </w:r>
      <w:r>
        <w:rPr>
          <w:rFonts w:ascii="Times New Roman" w:hAnsi="Times New Roman" w:cs="Times New Roman"/>
          <w:sz w:val="24"/>
          <w:szCs w:val="24"/>
        </w:rPr>
        <w:t>，提供虚假信息将被取消</w:t>
      </w:r>
      <w:r>
        <w:rPr>
          <w:rFonts w:ascii="Times New Roman" w:hAnsi="Times New Roman" w:cs="Times New Roman"/>
          <w:color w:val="auto"/>
          <w:sz w:val="24"/>
          <w:szCs w:val="24"/>
        </w:rPr>
        <w:t>再</w:t>
      </w:r>
      <w:r>
        <w:rPr>
          <w:rFonts w:hint="eastAsia" w:ascii="Times New Roman" w:hAnsi="Times New Roman" w:cs="Times New Roman"/>
          <w:color w:val="auto"/>
          <w:sz w:val="24"/>
          <w:szCs w:val="24"/>
        </w:rPr>
        <w:t>登记</w:t>
      </w:r>
      <w:r>
        <w:rPr>
          <w:rFonts w:ascii="Times New Roman" w:hAnsi="Times New Roman" w:cs="Times New Roman"/>
          <w:sz w:val="24"/>
          <w:szCs w:val="24"/>
        </w:rPr>
        <w:t>的权利。</w:t>
      </w:r>
    </w:p>
    <w:p>
      <w:pPr>
        <w:pStyle w:val="3"/>
        <w:spacing w:after="0" w:line="360" w:lineRule="auto"/>
        <w:ind w:firstLine="480" w:firstLineChars="200"/>
        <w:rPr>
          <w:rFonts w:ascii="Times New Roman" w:hAnsi="Times New Roman" w:cs="Times New Roman"/>
          <w:sz w:val="24"/>
          <w:szCs w:val="24"/>
        </w:rPr>
      </w:pPr>
      <w:r>
        <w:rPr>
          <w:rFonts w:ascii="Times New Roman" w:hAnsi="Times New Roman" w:cs="Times New Roman"/>
          <w:color w:val="auto"/>
          <w:sz w:val="24"/>
          <w:szCs w:val="24"/>
        </w:rPr>
        <w:t>再</w:t>
      </w:r>
      <w:r>
        <w:rPr>
          <w:rFonts w:hint="eastAsia" w:ascii="Times New Roman" w:hAnsi="Times New Roman" w:cs="Times New Roman"/>
          <w:color w:val="auto"/>
          <w:sz w:val="24"/>
          <w:szCs w:val="24"/>
        </w:rPr>
        <w:t>登记</w:t>
      </w:r>
      <w:r>
        <w:rPr>
          <w:rFonts w:ascii="Times New Roman" w:hAnsi="Times New Roman" w:cs="Times New Roman"/>
          <w:sz w:val="24"/>
          <w:szCs w:val="24"/>
        </w:rPr>
        <w:t>学分计算方式如下：</w:t>
      </w:r>
    </w:p>
    <w:p>
      <w:pPr>
        <w:widowControl/>
        <w:numPr>
          <w:ilvl w:val="0"/>
          <w:numId w:val="1"/>
        </w:numPr>
        <w:spacing w:line="360" w:lineRule="auto"/>
        <w:jc w:val="left"/>
        <w:rPr>
          <w:color w:val="000000"/>
          <w:sz w:val="24"/>
        </w:rPr>
      </w:pPr>
      <w:r>
        <w:rPr>
          <w:color w:val="000000"/>
          <w:sz w:val="24"/>
        </w:rPr>
        <w:t>从业：全职0.3学分/月或3.6学分/年，兼职0.15学分/月或1.8学分/年。最多10.8学分。</w:t>
      </w:r>
    </w:p>
    <w:p>
      <w:pPr>
        <w:widowControl/>
        <w:numPr>
          <w:ilvl w:val="0"/>
          <w:numId w:val="1"/>
        </w:numPr>
        <w:spacing w:line="360" w:lineRule="auto"/>
        <w:jc w:val="left"/>
        <w:rPr>
          <w:color w:val="000000"/>
          <w:sz w:val="24"/>
        </w:rPr>
      </w:pPr>
      <w:r>
        <w:rPr>
          <w:color w:val="000000"/>
          <w:sz w:val="24"/>
        </w:rPr>
        <w:t>GLP</w:t>
      </w:r>
      <w:r>
        <w:rPr>
          <w:rFonts w:hAnsi="宋体"/>
          <w:color w:val="000000"/>
          <w:sz w:val="24"/>
        </w:rPr>
        <w:t>会议（参加专业会议、研讨会、学术会等）：</w:t>
      </w:r>
      <w:r>
        <w:rPr>
          <w:color w:val="000000"/>
          <w:sz w:val="24"/>
        </w:rPr>
        <w:t xml:space="preserve"> 0.1学</w:t>
      </w:r>
      <w:r>
        <w:rPr>
          <w:rFonts w:hAnsi="宋体"/>
          <w:color w:val="000000"/>
          <w:sz w:val="24"/>
        </w:rPr>
        <w:t>分</w:t>
      </w:r>
      <w:r>
        <w:rPr>
          <w:color w:val="000000"/>
          <w:sz w:val="24"/>
        </w:rPr>
        <w:t>/</w:t>
      </w:r>
      <w:r>
        <w:rPr>
          <w:rFonts w:hAnsi="宋体"/>
          <w:color w:val="000000"/>
          <w:sz w:val="24"/>
        </w:rPr>
        <w:t>小时。最多</w:t>
      </w:r>
      <w:r>
        <w:rPr>
          <w:color w:val="000000"/>
          <w:sz w:val="24"/>
        </w:rPr>
        <w:t>9.0学</w:t>
      </w:r>
      <w:r>
        <w:rPr>
          <w:rFonts w:hAnsi="宋体"/>
          <w:color w:val="000000"/>
          <w:sz w:val="24"/>
        </w:rPr>
        <w:t>分。</w:t>
      </w:r>
    </w:p>
    <w:p>
      <w:pPr>
        <w:widowControl/>
        <w:numPr>
          <w:ilvl w:val="0"/>
          <w:numId w:val="1"/>
        </w:numPr>
        <w:spacing w:line="360" w:lineRule="auto"/>
        <w:jc w:val="left"/>
        <w:rPr>
          <w:color w:val="000000"/>
          <w:sz w:val="24"/>
        </w:rPr>
      </w:pPr>
      <w:r>
        <w:rPr>
          <w:color w:val="000000"/>
          <w:sz w:val="24"/>
        </w:rPr>
        <w:t>指导培训（承担公司内或公司外的指导性培训）：0.15学</w:t>
      </w:r>
      <w:r>
        <w:rPr>
          <w:rFonts w:hAnsi="宋体"/>
          <w:color w:val="000000"/>
          <w:sz w:val="24"/>
        </w:rPr>
        <w:t>分</w:t>
      </w:r>
      <w:r>
        <w:rPr>
          <w:color w:val="000000"/>
          <w:sz w:val="24"/>
        </w:rPr>
        <w:t>/</w:t>
      </w:r>
      <w:r>
        <w:rPr>
          <w:rFonts w:hAnsi="宋体"/>
          <w:color w:val="000000"/>
          <w:sz w:val="24"/>
        </w:rPr>
        <w:t>小时</w:t>
      </w:r>
      <w:r>
        <w:rPr>
          <w:color w:val="000000"/>
          <w:sz w:val="24"/>
        </w:rPr>
        <w:t>。最多10.8学分。</w:t>
      </w:r>
    </w:p>
    <w:p>
      <w:pPr>
        <w:widowControl/>
        <w:numPr>
          <w:ilvl w:val="0"/>
          <w:numId w:val="1"/>
        </w:numPr>
        <w:spacing w:line="360" w:lineRule="auto"/>
        <w:jc w:val="left"/>
        <w:rPr>
          <w:color w:val="000000"/>
          <w:sz w:val="24"/>
        </w:rPr>
      </w:pPr>
      <w:r>
        <w:rPr>
          <w:color w:val="000000"/>
          <w:sz w:val="24"/>
        </w:rPr>
        <w:t>接受培训（接受公司内或公司外的培训）：0.1学</w:t>
      </w:r>
      <w:r>
        <w:rPr>
          <w:rFonts w:hAnsi="宋体"/>
          <w:color w:val="000000"/>
          <w:sz w:val="24"/>
        </w:rPr>
        <w:t>分</w:t>
      </w:r>
      <w:r>
        <w:rPr>
          <w:color w:val="000000"/>
          <w:sz w:val="24"/>
        </w:rPr>
        <w:t>/</w:t>
      </w:r>
      <w:r>
        <w:rPr>
          <w:rFonts w:hAnsi="宋体"/>
          <w:color w:val="000000"/>
          <w:sz w:val="24"/>
        </w:rPr>
        <w:t>小时</w:t>
      </w:r>
      <w:r>
        <w:rPr>
          <w:color w:val="000000"/>
          <w:sz w:val="24"/>
        </w:rPr>
        <w:t>。最多9.0学分。</w:t>
      </w:r>
    </w:p>
    <w:p>
      <w:pPr>
        <w:widowControl/>
        <w:numPr>
          <w:ilvl w:val="0"/>
          <w:numId w:val="1"/>
        </w:numPr>
        <w:spacing w:line="360" w:lineRule="auto"/>
        <w:jc w:val="left"/>
        <w:rPr>
          <w:color w:val="000000"/>
          <w:sz w:val="24"/>
        </w:rPr>
      </w:pPr>
      <w:r>
        <w:rPr>
          <w:color w:val="000000"/>
          <w:sz w:val="24"/>
        </w:rPr>
        <w:t>相关专业活动（参加相关专业会议或培训班）：0.3学分/会议或0.3学分/培训班。最多9.0学分。</w:t>
      </w:r>
    </w:p>
    <w:p>
      <w:pPr>
        <w:widowControl/>
        <w:numPr>
          <w:ilvl w:val="0"/>
          <w:numId w:val="1"/>
        </w:numPr>
        <w:spacing w:line="360" w:lineRule="auto"/>
        <w:jc w:val="left"/>
        <w:rPr>
          <w:color w:val="000000"/>
          <w:sz w:val="24"/>
        </w:rPr>
      </w:pPr>
      <w:r>
        <w:rPr>
          <w:color w:val="000000"/>
          <w:sz w:val="24"/>
        </w:rPr>
        <w:t>学术团体：团体选举的主任委员或副主任委员或秘书2.0学分/年，任命的职位1.5学分/团体，活动实施主持0.2学分/活动。最多6.0学分。</w:t>
      </w:r>
    </w:p>
    <w:p>
      <w:pPr>
        <w:widowControl/>
        <w:numPr>
          <w:ilvl w:val="0"/>
          <w:numId w:val="1"/>
        </w:numPr>
        <w:spacing w:line="360" w:lineRule="auto"/>
        <w:jc w:val="left"/>
        <w:rPr>
          <w:color w:val="000000"/>
          <w:sz w:val="24"/>
        </w:rPr>
      </w:pPr>
      <w:r>
        <w:rPr>
          <w:color w:val="000000"/>
          <w:sz w:val="24"/>
        </w:rPr>
        <w:t>相关资格认证：1.0学分/专业认证。最多4.0学分。</w:t>
      </w:r>
    </w:p>
    <w:p>
      <w:pPr>
        <w:widowControl/>
        <w:numPr>
          <w:ilvl w:val="0"/>
          <w:numId w:val="1"/>
        </w:numPr>
        <w:spacing w:line="360" w:lineRule="auto"/>
        <w:jc w:val="left"/>
        <w:rPr>
          <w:color w:val="000000"/>
          <w:sz w:val="24"/>
        </w:rPr>
      </w:pPr>
      <w:r>
        <w:rPr>
          <w:color w:val="000000"/>
          <w:sz w:val="24"/>
        </w:rPr>
        <w:t>出版物（综述、论文、书）：第一著者0.5学分/综述，合著者0.2学分/综述，第一著者1.0学分/论文，合著者0.5学分/论文，第一著者4.0学分/书，合著者2.0学分/书，编辑 1.0/书。最多9.0学分。</w:t>
      </w:r>
    </w:p>
    <w:p>
      <w:pPr>
        <w:spacing w:line="360" w:lineRule="auto"/>
        <w:rPr>
          <w:b/>
          <w:sz w:val="24"/>
        </w:rPr>
      </w:pPr>
      <w:r>
        <w:rPr>
          <w:b/>
          <w:sz w:val="24"/>
        </w:rPr>
        <w:t>2.3  周期和申请提交</w:t>
      </w:r>
    </w:p>
    <w:p>
      <w:pPr>
        <w:pStyle w:val="3"/>
        <w:spacing w:after="0"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每3年</w:t>
      </w:r>
      <w:r>
        <w:rPr>
          <w:rFonts w:ascii="Times New Roman" w:hAnsi="Times New Roman" w:cs="Times New Roman"/>
          <w:color w:val="auto"/>
          <w:sz w:val="24"/>
          <w:szCs w:val="24"/>
        </w:rPr>
        <w:t>再</w:t>
      </w:r>
      <w:r>
        <w:rPr>
          <w:rFonts w:hint="eastAsia" w:ascii="Times New Roman" w:hAnsi="Times New Roman" w:cs="Times New Roman"/>
          <w:color w:val="auto"/>
          <w:sz w:val="24"/>
          <w:szCs w:val="24"/>
        </w:rPr>
        <w:t>登记</w:t>
      </w:r>
      <w:r>
        <w:rPr>
          <w:rFonts w:ascii="Times New Roman" w:hAnsi="Times New Roman" w:cs="Times New Roman"/>
          <w:sz w:val="24"/>
          <w:szCs w:val="24"/>
        </w:rPr>
        <w:t>1次。申请者应填写</w:t>
      </w:r>
      <w:r>
        <w:rPr>
          <w:rFonts w:ascii="Times New Roman" w:cs="Times New Roman"/>
          <w:color w:val="auto"/>
          <w:sz w:val="24"/>
          <w:szCs w:val="24"/>
        </w:rPr>
        <w:t>《</w:t>
      </w:r>
      <w:r>
        <w:rPr>
          <w:rFonts w:ascii="Times New Roman" w:hAnsi="Times New Roman" w:cs="Times New Roman"/>
          <w:color w:val="auto"/>
          <w:sz w:val="24"/>
          <w:szCs w:val="24"/>
        </w:rPr>
        <w:t>CSQA GLP-QA 专业能力再</w:t>
      </w:r>
      <w:r>
        <w:rPr>
          <w:rFonts w:hint="eastAsia" w:ascii="Times New Roman" w:hAnsi="Times New Roman" w:cs="Times New Roman"/>
          <w:color w:val="auto"/>
          <w:sz w:val="24"/>
          <w:szCs w:val="24"/>
        </w:rPr>
        <w:t>登记</w:t>
      </w:r>
      <w:r>
        <w:rPr>
          <w:rFonts w:ascii="Times New Roman" w:cs="Times New Roman"/>
          <w:color w:val="auto"/>
          <w:sz w:val="24"/>
          <w:szCs w:val="24"/>
        </w:rPr>
        <w:t>申请表》</w:t>
      </w:r>
      <w:r>
        <w:rPr>
          <w:rFonts w:ascii="Times New Roman" w:cs="Times New Roman"/>
          <w:sz w:val="24"/>
          <w:szCs w:val="24"/>
        </w:rPr>
        <w:t>（见附件</w:t>
      </w:r>
      <w:r>
        <w:rPr>
          <w:rFonts w:ascii="Times New Roman" w:hAnsi="Times New Roman" w:cs="Times New Roman"/>
          <w:sz w:val="24"/>
          <w:szCs w:val="24"/>
        </w:rPr>
        <w:t>3</w:t>
      </w:r>
      <w:r>
        <w:rPr>
          <w:rFonts w:ascii="Times New Roman" w:cs="Times New Roman"/>
          <w:sz w:val="24"/>
          <w:szCs w:val="24"/>
        </w:rPr>
        <w:t>）。</w:t>
      </w:r>
      <w:r>
        <w:rPr>
          <w:rFonts w:ascii="Times New Roman" w:hAnsi="Times New Roman" w:cs="Times New Roman"/>
          <w:color w:val="auto"/>
          <w:sz w:val="24"/>
          <w:szCs w:val="24"/>
        </w:rPr>
        <w:t>再</w:t>
      </w:r>
      <w:r>
        <w:rPr>
          <w:rFonts w:hint="eastAsia" w:ascii="Times New Roman" w:hAnsi="Times New Roman" w:cs="Times New Roman"/>
          <w:color w:val="auto"/>
          <w:sz w:val="24"/>
          <w:szCs w:val="24"/>
        </w:rPr>
        <w:t>登记</w:t>
      </w:r>
      <w:r>
        <w:rPr>
          <w:rFonts w:ascii="Times New Roman" w:cs="Times New Roman"/>
          <w:sz w:val="24"/>
          <w:szCs w:val="24"/>
        </w:rPr>
        <w:t>申请材料应在</w:t>
      </w:r>
      <w:r>
        <w:rPr>
          <w:rFonts w:ascii="Times New Roman" w:hAnsi="Times New Roman" w:cs="Times New Roman"/>
          <w:sz w:val="24"/>
          <w:szCs w:val="24"/>
        </w:rPr>
        <w:t>专业能力考试</w:t>
      </w:r>
      <w:r>
        <w:rPr>
          <w:rFonts w:ascii="Times New Roman" w:cs="Times New Roman"/>
          <w:sz w:val="24"/>
          <w:szCs w:val="24"/>
        </w:rPr>
        <w:t>证书失效的前</w:t>
      </w:r>
      <w:r>
        <w:rPr>
          <w:rFonts w:ascii="Times New Roman" w:hAnsi="Times New Roman" w:cs="Times New Roman"/>
          <w:sz w:val="24"/>
          <w:szCs w:val="24"/>
        </w:rPr>
        <w:t>6</w:t>
      </w:r>
      <w:r>
        <w:rPr>
          <w:rFonts w:ascii="Times New Roman" w:cs="Times New Roman"/>
          <w:sz w:val="24"/>
          <w:szCs w:val="24"/>
        </w:rPr>
        <w:t>个月或后</w:t>
      </w:r>
      <w:r>
        <w:rPr>
          <w:rFonts w:ascii="Times New Roman" w:hAnsi="Times New Roman" w:cs="Times New Roman"/>
          <w:sz w:val="24"/>
          <w:szCs w:val="24"/>
        </w:rPr>
        <w:t>6</w:t>
      </w:r>
      <w:r>
        <w:rPr>
          <w:rFonts w:ascii="Times New Roman" w:cs="Times New Roman"/>
          <w:sz w:val="24"/>
          <w:szCs w:val="24"/>
        </w:rPr>
        <w:t>个月内提交，并同时缴纳</w:t>
      </w:r>
      <w:r>
        <w:rPr>
          <w:rFonts w:ascii="Times New Roman" w:hAnsi="Times New Roman" w:cs="Times New Roman"/>
          <w:sz w:val="24"/>
          <w:szCs w:val="24"/>
        </w:rPr>
        <w:t>300</w:t>
      </w:r>
      <w:r>
        <w:rPr>
          <w:rFonts w:ascii="Times New Roman" w:cs="Times New Roman"/>
          <w:sz w:val="24"/>
          <w:szCs w:val="24"/>
        </w:rPr>
        <w:t>元</w:t>
      </w:r>
      <w:r>
        <w:rPr>
          <w:rFonts w:hint="eastAsia" w:ascii="Times New Roman" w:hAnsi="Times New Roman" w:cs="Times New Roman"/>
          <w:color w:val="auto"/>
          <w:sz w:val="24"/>
          <w:szCs w:val="24"/>
        </w:rPr>
        <w:t>再登记</w:t>
      </w:r>
      <w:r>
        <w:rPr>
          <w:rFonts w:ascii="Times New Roman" w:hAnsi="Times New Roman" w:cs="Times New Roman"/>
          <w:sz w:val="24"/>
          <w:szCs w:val="24"/>
        </w:rPr>
        <w:t>费。</w:t>
      </w:r>
      <w:r>
        <w:rPr>
          <w:rFonts w:hint="eastAsia"/>
          <w:color w:val="auto"/>
          <w:sz w:val="24"/>
        </w:rPr>
        <w:t>质量保证专业委员会在审查申请者学分佐证材料的基础上，于收到再登记费后3个月内向申请者寄送新的证书。</w:t>
      </w:r>
    </w:p>
    <w:p>
      <w:pPr>
        <w:pStyle w:val="3"/>
        <w:spacing w:after="0" w:line="360" w:lineRule="auto"/>
        <w:rPr>
          <w:rFonts w:ascii="Times New Roman" w:hAnsi="Times New Roman" w:cs="Times New Roman"/>
          <w:sz w:val="24"/>
          <w:szCs w:val="24"/>
        </w:rPr>
      </w:pPr>
    </w:p>
    <w:p>
      <w:pPr>
        <w:spacing w:line="360" w:lineRule="auto"/>
        <w:rPr>
          <w:b/>
          <w:sz w:val="24"/>
        </w:rPr>
      </w:pPr>
      <w:r>
        <w:rPr>
          <w:b/>
          <w:sz w:val="24"/>
        </w:rPr>
        <w:t>3  例题</w:t>
      </w:r>
    </w:p>
    <w:p>
      <w:pPr>
        <w:spacing w:line="360" w:lineRule="auto"/>
        <w:rPr>
          <w:bCs/>
          <w:color w:val="161616"/>
          <w:kern w:val="0"/>
          <w:sz w:val="24"/>
        </w:rPr>
      </w:pPr>
      <w:r>
        <w:rPr>
          <w:bCs/>
          <w:color w:val="161616"/>
          <w:kern w:val="0"/>
          <w:sz w:val="24"/>
        </w:rPr>
        <w:t>例题1  对试验进行现场检查计划应：</w:t>
      </w:r>
    </w:p>
    <w:p>
      <w:pPr>
        <w:numPr>
          <w:ilvl w:val="0"/>
          <w:numId w:val="2"/>
        </w:numPr>
        <w:spacing w:line="360" w:lineRule="auto"/>
        <w:ind w:firstLine="360"/>
        <w:rPr>
          <w:bCs/>
          <w:color w:val="161616"/>
          <w:kern w:val="0"/>
          <w:sz w:val="24"/>
        </w:rPr>
      </w:pPr>
      <w:r>
        <w:rPr>
          <w:bCs/>
          <w:color w:val="161616"/>
          <w:kern w:val="0"/>
          <w:sz w:val="24"/>
        </w:rPr>
        <w:t>在试验开始前</w:t>
      </w:r>
    </w:p>
    <w:p>
      <w:pPr>
        <w:numPr>
          <w:ilvl w:val="0"/>
          <w:numId w:val="2"/>
        </w:numPr>
        <w:spacing w:line="360" w:lineRule="auto"/>
        <w:ind w:firstLine="360"/>
        <w:rPr>
          <w:bCs/>
          <w:color w:val="161616"/>
          <w:kern w:val="0"/>
          <w:sz w:val="24"/>
        </w:rPr>
      </w:pPr>
      <w:r>
        <w:rPr>
          <w:bCs/>
          <w:color w:val="161616"/>
          <w:kern w:val="0"/>
          <w:sz w:val="24"/>
        </w:rPr>
        <w:t>在试验动物安乐死前</w:t>
      </w:r>
    </w:p>
    <w:p>
      <w:pPr>
        <w:numPr>
          <w:ilvl w:val="0"/>
          <w:numId w:val="2"/>
        </w:numPr>
        <w:spacing w:line="360" w:lineRule="auto"/>
        <w:ind w:firstLine="360"/>
        <w:rPr>
          <w:bCs/>
          <w:color w:val="161616"/>
          <w:kern w:val="0"/>
          <w:sz w:val="24"/>
        </w:rPr>
      </w:pPr>
      <w:r>
        <w:rPr>
          <w:bCs/>
          <w:color w:val="161616"/>
          <w:kern w:val="0"/>
          <w:sz w:val="24"/>
        </w:rPr>
        <w:t>在适当间隔确保试验完整性</w:t>
      </w:r>
    </w:p>
    <w:p>
      <w:pPr>
        <w:numPr>
          <w:ilvl w:val="0"/>
          <w:numId w:val="2"/>
        </w:numPr>
        <w:spacing w:line="360" w:lineRule="auto"/>
        <w:ind w:firstLine="360"/>
        <w:rPr>
          <w:bCs/>
          <w:color w:val="161616"/>
          <w:kern w:val="0"/>
          <w:sz w:val="24"/>
        </w:rPr>
      </w:pPr>
      <w:r>
        <w:rPr>
          <w:bCs/>
          <w:color w:val="161616"/>
          <w:kern w:val="0"/>
          <w:sz w:val="24"/>
        </w:rPr>
        <w:t>在适当的间隔确保专题负责人履行其职责</w:t>
      </w:r>
    </w:p>
    <w:p>
      <w:pPr>
        <w:spacing w:line="360" w:lineRule="auto"/>
        <w:ind w:left="360"/>
        <w:rPr>
          <w:bCs/>
          <w:color w:val="161616"/>
          <w:kern w:val="0"/>
          <w:sz w:val="24"/>
        </w:rPr>
      </w:pPr>
    </w:p>
    <w:p>
      <w:pPr>
        <w:autoSpaceDE w:val="0"/>
        <w:autoSpaceDN w:val="0"/>
        <w:adjustRightInd w:val="0"/>
        <w:spacing w:line="360" w:lineRule="auto"/>
        <w:jc w:val="left"/>
        <w:rPr>
          <w:kern w:val="0"/>
          <w:sz w:val="24"/>
        </w:rPr>
      </w:pPr>
      <w:r>
        <w:rPr>
          <w:bCs/>
          <w:color w:val="161616"/>
          <w:kern w:val="0"/>
          <w:sz w:val="24"/>
        </w:rPr>
        <w:t xml:space="preserve">例题2  </w:t>
      </w:r>
      <w:r>
        <w:rPr>
          <w:kern w:val="0"/>
          <w:sz w:val="24"/>
        </w:rPr>
        <w:t xml:space="preserve">方案中未要求供试品配制过程中应使用搅拌器搅拌，而配制供试品时操作者感觉供试品溶解不够充分，用搅拌器搅拌2小时，这种情况应如何处理？ </w:t>
      </w:r>
    </w:p>
    <w:p>
      <w:pPr>
        <w:autoSpaceDE w:val="0"/>
        <w:autoSpaceDN w:val="0"/>
        <w:adjustRightInd w:val="0"/>
        <w:spacing w:line="360" w:lineRule="auto"/>
        <w:jc w:val="left"/>
        <w:rPr>
          <w:kern w:val="0"/>
          <w:sz w:val="24"/>
        </w:rPr>
      </w:pPr>
      <w:r>
        <w:rPr>
          <w:kern w:val="0"/>
          <w:sz w:val="24"/>
        </w:rPr>
        <w:t xml:space="preserve">1) 供试品配制记录中不必描述用搅拌器搅拌2小时  </w:t>
      </w:r>
    </w:p>
    <w:p>
      <w:pPr>
        <w:autoSpaceDE w:val="0"/>
        <w:autoSpaceDN w:val="0"/>
        <w:adjustRightInd w:val="0"/>
        <w:spacing w:line="360" w:lineRule="auto"/>
        <w:jc w:val="left"/>
        <w:rPr>
          <w:kern w:val="0"/>
          <w:sz w:val="24"/>
        </w:rPr>
      </w:pPr>
      <w:r>
        <w:rPr>
          <w:kern w:val="0"/>
          <w:sz w:val="24"/>
        </w:rPr>
        <w:t xml:space="preserve">2）供试品配制记录中应描述用搅拌器搅拌2小时  </w:t>
      </w:r>
    </w:p>
    <w:p>
      <w:pPr>
        <w:autoSpaceDE w:val="0"/>
        <w:autoSpaceDN w:val="0"/>
        <w:adjustRightInd w:val="0"/>
        <w:spacing w:line="360" w:lineRule="auto"/>
        <w:jc w:val="left"/>
        <w:rPr>
          <w:kern w:val="0"/>
          <w:sz w:val="24"/>
        </w:rPr>
      </w:pPr>
      <w:r>
        <w:rPr>
          <w:kern w:val="0"/>
          <w:sz w:val="24"/>
        </w:rPr>
        <w:t xml:space="preserve">3）不必做方案偏离记录且不必向专题负责人报告  </w:t>
      </w:r>
    </w:p>
    <w:p>
      <w:pPr>
        <w:autoSpaceDE w:val="0"/>
        <w:autoSpaceDN w:val="0"/>
        <w:adjustRightInd w:val="0"/>
        <w:spacing w:line="360" w:lineRule="auto"/>
        <w:jc w:val="left"/>
        <w:rPr>
          <w:rFonts w:hint="eastAsia"/>
          <w:kern w:val="0"/>
          <w:sz w:val="24"/>
        </w:rPr>
      </w:pPr>
      <w:r>
        <w:rPr>
          <w:kern w:val="0"/>
          <w:sz w:val="24"/>
        </w:rPr>
        <w:t>4）做方案偏离记录并由专题负责人评估影响</w:t>
      </w:r>
    </w:p>
    <w:p>
      <w:pPr>
        <w:autoSpaceDE w:val="0"/>
        <w:autoSpaceDN w:val="0"/>
        <w:adjustRightInd w:val="0"/>
        <w:spacing w:line="360" w:lineRule="auto"/>
        <w:ind w:firstLine="708" w:firstLineChars="295"/>
        <w:jc w:val="left"/>
        <w:rPr>
          <w:kern w:val="0"/>
          <w:sz w:val="24"/>
        </w:rPr>
      </w:pPr>
      <w:r>
        <w:rPr>
          <w:kern w:val="0"/>
          <w:sz w:val="24"/>
        </w:rPr>
        <w:t>A．1）</w:t>
      </w:r>
    </w:p>
    <w:p>
      <w:pPr>
        <w:autoSpaceDE w:val="0"/>
        <w:autoSpaceDN w:val="0"/>
        <w:adjustRightInd w:val="0"/>
        <w:spacing w:line="360" w:lineRule="auto"/>
        <w:ind w:firstLine="708" w:firstLineChars="295"/>
        <w:jc w:val="left"/>
        <w:rPr>
          <w:kern w:val="0"/>
          <w:sz w:val="24"/>
        </w:rPr>
      </w:pPr>
      <w:r>
        <w:rPr>
          <w:kern w:val="0"/>
          <w:sz w:val="24"/>
        </w:rPr>
        <w:t>B．3）</w:t>
      </w:r>
    </w:p>
    <w:p>
      <w:pPr>
        <w:autoSpaceDE w:val="0"/>
        <w:autoSpaceDN w:val="0"/>
        <w:adjustRightInd w:val="0"/>
        <w:spacing w:line="360" w:lineRule="auto"/>
        <w:ind w:firstLine="708" w:firstLineChars="295"/>
        <w:jc w:val="left"/>
        <w:rPr>
          <w:kern w:val="0"/>
          <w:sz w:val="24"/>
        </w:rPr>
      </w:pPr>
      <w:r>
        <w:rPr>
          <w:kern w:val="0"/>
          <w:sz w:val="24"/>
        </w:rPr>
        <w:t>C．1）和3）</w:t>
      </w:r>
    </w:p>
    <w:p>
      <w:pPr>
        <w:autoSpaceDE w:val="0"/>
        <w:autoSpaceDN w:val="0"/>
        <w:adjustRightInd w:val="0"/>
        <w:spacing w:line="360" w:lineRule="auto"/>
        <w:ind w:firstLine="708" w:firstLineChars="295"/>
        <w:jc w:val="left"/>
        <w:rPr>
          <w:rFonts w:hint="eastAsia"/>
          <w:kern w:val="0"/>
          <w:sz w:val="24"/>
        </w:rPr>
      </w:pPr>
      <w:r>
        <w:rPr>
          <w:kern w:val="0"/>
          <w:sz w:val="24"/>
        </w:rPr>
        <w:t>D．2）和4）</w:t>
      </w:r>
    </w:p>
    <w:p>
      <w:pPr>
        <w:autoSpaceDE w:val="0"/>
        <w:autoSpaceDN w:val="0"/>
        <w:adjustRightInd w:val="0"/>
        <w:spacing w:line="360" w:lineRule="auto"/>
        <w:ind w:firstLine="708" w:firstLineChars="295"/>
        <w:jc w:val="left"/>
        <w:rPr>
          <w:rFonts w:hint="eastAsia"/>
          <w:kern w:val="0"/>
          <w:sz w:val="24"/>
        </w:rPr>
      </w:pPr>
    </w:p>
    <w:p>
      <w:pPr>
        <w:autoSpaceDE w:val="0"/>
        <w:autoSpaceDN w:val="0"/>
        <w:adjustRightInd w:val="0"/>
        <w:spacing w:line="360" w:lineRule="auto"/>
        <w:jc w:val="left"/>
        <w:rPr>
          <w:rFonts w:hint="eastAsia"/>
          <w:b/>
          <w:kern w:val="0"/>
          <w:sz w:val="24"/>
        </w:rPr>
      </w:pPr>
      <w:r>
        <w:rPr>
          <w:rFonts w:hint="eastAsia"/>
          <w:b/>
          <w:kern w:val="0"/>
          <w:sz w:val="24"/>
        </w:rPr>
        <w:t>4   附则</w:t>
      </w:r>
    </w:p>
    <w:p>
      <w:pPr>
        <w:spacing w:line="360" w:lineRule="auto"/>
        <w:ind w:left="472" w:hanging="472" w:hangingChars="196"/>
        <w:rPr>
          <w:sz w:val="24"/>
        </w:rPr>
      </w:pPr>
      <w:r>
        <w:rPr>
          <w:rFonts w:hint="eastAsia" w:hAnsi="宋体"/>
          <w:b/>
          <w:sz w:val="24"/>
        </w:rPr>
        <w:t xml:space="preserve">4.1 </w:t>
      </w:r>
      <w:r>
        <w:rPr>
          <w:rFonts w:hAnsi="宋体"/>
          <w:sz w:val="24"/>
        </w:rPr>
        <w:t>考试申请</w:t>
      </w:r>
      <w:r>
        <w:rPr>
          <w:rFonts w:hint="eastAsia" w:hAnsi="宋体"/>
          <w:sz w:val="24"/>
        </w:rPr>
        <w:t>阶段</w:t>
      </w:r>
      <w:r>
        <w:rPr>
          <w:rFonts w:hAnsi="宋体"/>
          <w:sz w:val="24"/>
        </w:rPr>
        <w:t>，</w:t>
      </w:r>
      <w:r>
        <w:rPr>
          <w:rFonts w:hint="eastAsia" w:hAnsi="宋体"/>
          <w:sz w:val="24"/>
        </w:rPr>
        <w:t>申请</w:t>
      </w:r>
      <w:r>
        <w:rPr>
          <w:rFonts w:hAnsi="宋体"/>
          <w:sz w:val="24"/>
        </w:rPr>
        <w:t>者须提交附件</w:t>
      </w:r>
      <w:r>
        <w:rPr>
          <w:sz w:val="24"/>
        </w:rPr>
        <w:t>1</w:t>
      </w:r>
      <w:r>
        <w:rPr>
          <w:rFonts w:hAnsi="宋体"/>
          <w:sz w:val="24"/>
        </w:rPr>
        <w:t>文档和由</w:t>
      </w:r>
      <w:r>
        <w:rPr>
          <w:rFonts w:hint="eastAsia" w:hAnsi="宋体"/>
          <w:sz w:val="24"/>
        </w:rPr>
        <w:t>工作</w:t>
      </w:r>
      <w:r>
        <w:rPr>
          <w:rFonts w:hAnsi="宋体"/>
          <w:sz w:val="24"/>
        </w:rPr>
        <w:t>单位出具的</w:t>
      </w:r>
      <w:r>
        <w:rPr>
          <w:rFonts w:hint="eastAsia" w:hAnsi="宋体"/>
          <w:sz w:val="24"/>
        </w:rPr>
        <w:t>从事QA工作</w:t>
      </w:r>
      <w:r>
        <w:rPr>
          <w:rFonts w:hAnsi="宋体"/>
          <w:sz w:val="24"/>
        </w:rPr>
        <w:t>任职年限证明</w:t>
      </w:r>
      <w:r>
        <w:rPr>
          <w:rFonts w:hint="eastAsia" w:hAnsi="宋体"/>
          <w:sz w:val="24"/>
        </w:rPr>
        <w:t>，扫描制作为PDF文件并发送至QA</w:t>
      </w:r>
      <w:r>
        <w:rPr>
          <w:sz w:val="24"/>
        </w:rPr>
        <w:t>专业能力考试专用邮箱</w:t>
      </w:r>
      <w:r>
        <w:rPr>
          <w:rFonts w:hint="eastAsia"/>
          <w:sz w:val="24"/>
        </w:rPr>
        <w:t>（</w:t>
      </w:r>
      <w:r>
        <w:rPr>
          <w:rFonts w:hint="eastAsia"/>
          <w:b/>
          <w:sz w:val="24"/>
        </w:rPr>
        <w:t>CSQA_QAP@163.com</w:t>
      </w:r>
      <w:r>
        <w:rPr>
          <w:rFonts w:hint="eastAsia"/>
          <w:sz w:val="24"/>
        </w:rPr>
        <w:t>）</w:t>
      </w:r>
      <w:r>
        <w:rPr>
          <w:rFonts w:hAnsi="宋体"/>
          <w:sz w:val="24"/>
        </w:rPr>
        <w:t>。</w:t>
      </w:r>
      <w:r>
        <w:rPr>
          <w:rFonts w:hint="eastAsia" w:hAnsi="宋体"/>
          <w:sz w:val="24"/>
        </w:rPr>
        <w:t>以其他方式或途径提交申请将被视为无效申请。</w:t>
      </w:r>
    </w:p>
    <w:p>
      <w:pPr>
        <w:spacing w:line="360" w:lineRule="auto"/>
        <w:rPr>
          <w:rFonts w:hint="eastAsia"/>
          <w:sz w:val="24"/>
        </w:rPr>
      </w:pPr>
      <w:r>
        <w:rPr>
          <w:rFonts w:hint="eastAsia" w:hAnsi="宋体"/>
          <w:b/>
          <w:sz w:val="24"/>
        </w:rPr>
        <w:t xml:space="preserve">4.2 </w:t>
      </w:r>
      <w:r>
        <w:rPr>
          <w:rFonts w:hAnsi="宋体"/>
          <w:sz w:val="24"/>
        </w:rPr>
        <w:t>附件</w:t>
      </w:r>
      <w:r>
        <w:rPr>
          <w:sz w:val="24"/>
        </w:rPr>
        <w:t>2</w:t>
      </w:r>
      <w:r>
        <w:rPr>
          <w:rFonts w:hAnsi="宋体"/>
          <w:sz w:val="24"/>
        </w:rPr>
        <w:t>文档应在考试开始前，由参考</w:t>
      </w:r>
      <w:r>
        <w:rPr>
          <w:rFonts w:hint="eastAsia" w:hAnsi="宋体"/>
          <w:sz w:val="24"/>
        </w:rPr>
        <w:t>者本人在考试现场</w:t>
      </w:r>
      <w:r>
        <w:rPr>
          <w:rFonts w:hAnsi="宋体"/>
          <w:sz w:val="24"/>
        </w:rPr>
        <w:t>签署。</w:t>
      </w:r>
    </w:p>
    <w:p>
      <w:pPr>
        <w:spacing w:line="360" w:lineRule="auto"/>
        <w:rPr>
          <w:rFonts w:hint="eastAsia"/>
          <w:sz w:val="24"/>
        </w:rPr>
      </w:pPr>
      <w:r>
        <w:rPr>
          <w:rFonts w:hint="eastAsia" w:hAnsi="宋体"/>
          <w:b/>
          <w:sz w:val="24"/>
        </w:rPr>
        <w:t xml:space="preserve">4.3 </w:t>
      </w:r>
      <w:r>
        <w:rPr>
          <w:rFonts w:hint="eastAsia" w:hAnsi="宋体"/>
          <w:sz w:val="24"/>
        </w:rPr>
        <w:t>本考试制度的解释权属于中国毒理学会毒理研究质量保证专业委员会。</w:t>
      </w:r>
    </w:p>
    <w:p>
      <w:pPr>
        <w:spacing w:line="360" w:lineRule="auto"/>
        <w:rPr>
          <w:rFonts w:hint="eastAsia" w:hAnsi="宋体"/>
          <w:sz w:val="24"/>
        </w:rPr>
      </w:pPr>
    </w:p>
    <w:p>
      <w:pPr>
        <w:spacing w:line="360" w:lineRule="auto"/>
        <w:rPr>
          <w:rFonts w:hint="eastAsia" w:hAnsi="宋体"/>
          <w:sz w:val="24"/>
        </w:rPr>
      </w:pPr>
    </w:p>
    <w:p>
      <w:pPr>
        <w:spacing w:line="300" w:lineRule="auto"/>
        <w:rPr>
          <w:rFonts w:hint="eastAsia" w:hAnsi="宋体"/>
          <w:sz w:val="24"/>
        </w:rPr>
      </w:pPr>
    </w:p>
    <w:p>
      <w:pPr>
        <w:spacing w:line="300" w:lineRule="auto"/>
        <w:ind w:firstLine="4560" w:firstLineChars="1900"/>
        <w:rPr>
          <w:rFonts w:hint="eastAsia" w:hAnsi="宋体"/>
          <w:sz w:val="24"/>
        </w:rPr>
      </w:pPr>
      <w:r>
        <w:rPr>
          <w:rFonts w:hint="eastAsia" w:hAnsi="宋体"/>
          <w:sz w:val="24"/>
        </w:rPr>
        <w:t>中国毒理学会</w:t>
      </w:r>
    </w:p>
    <w:p>
      <w:pPr>
        <w:spacing w:line="300" w:lineRule="auto"/>
        <w:ind w:firstLine="4560" w:firstLineChars="1900"/>
        <w:rPr>
          <w:rFonts w:hint="eastAsia" w:hAnsi="宋体"/>
          <w:sz w:val="24"/>
        </w:rPr>
      </w:pPr>
      <w:r>
        <w:rPr>
          <w:rFonts w:hint="eastAsia" w:hAnsi="宋体"/>
          <w:sz w:val="24"/>
        </w:rPr>
        <w:t>毒理研究质量保证专业委员会</w:t>
      </w:r>
    </w:p>
    <w:p>
      <w:pPr>
        <w:spacing w:line="300" w:lineRule="auto"/>
        <w:ind w:firstLine="4560" w:firstLineChars="1900"/>
        <w:rPr>
          <w:rFonts w:hint="eastAsia" w:hAnsi="宋体"/>
          <w:sz w:val="24"/>
        </w:rPr>
      </w:pPr>
      <w:r>
        <w:rPr>
          <w:rFonts w:hint="eastAsia" w:hAnsi="宋体"/>
          <w:sz w:val="24"/>
        </w:rPr>
        <w:t>二〇一七年五月二十四日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1C48"/>
    <w:multiLevelType w:val="multilevel"/>
    <w:tmpl w:val="59001C48"/>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7348559D"/>
    <w:multiLevelType w:val="multilevel"/>
    <w:tmpl w:val="7348559D"/>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MzU4YzgxOWI4OTE3ZjdiYzZlNWE3ZjNlODM4YmEifQ=="/>
  </w:docVars>
  <w:rsids>
    <w:rsidRoot w:val="27082ECF"/>
    <w:rsid w:val="27082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widowControl/>
      <w:spacing w:after="165"/>
      <w:jc w:val="left"/>
      <w:outlineLvl w:val="2"/>
    </w:pPr>
    <w:rPr>
      <w:rFonts w:ascii="Helvetica" w:hAnsi="Helvetica" w:cs="Helvetica"/>
      <w:b/>
      <w:bCs/>
      <w:color w:val="660000"/>
      <w:kern w:val="0"/>
      <w:sz w:val="22"/>
      <w:szCs w:val="2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after="150"/>
      <w:jc w:val="left"/>
    </w:pPr>
    <w:rPr>
      <w:rFonts w:ascii="Arial" w:hAnsi="Arial" w:cs="Arial"/>
      <w:color w:val="000000"/>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2023-07-24T08:36:00Z</dcterms:created>
  <dc:creator>颖</dc:creator>
  <cp:lastModifiedBy>颖</cp:lastModifiedBy>
  <dcterms:modified xsi:type="dcterms:W3CDTF">2023-07-24T08:37:05Z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03F11AA25E7842509D532DA2091EFAD6_11</vt:lpwstr>
  </property>
</Properties>
</file>