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77151D">
      <w:pPr>
        <w:widowControl/>
        <w:shd w:val="clear" w:color="auto" w:fill="FFFFFF"/>
        <w:spacing w:line="432" w:lineRule="atLeast"/>
        <w:jc w:val="center"/>
        <w:outlineLvl w:val="0"/>
        <w:rPr>
          <w:rFonts w:ascii="微软雅黑" w:hAnsi="微软雅黑" w:eastAsia="微软雅黑" w:cs="宋体"/>
          <w:color w:val="8C1B0B"/>
          <w:kern w:val="36"/>
          <w:sz w:val="36"/>
          <w:szCs w:val="36"/>
        </w:rPr>
      </w:pPr>
      <w:r>
        <w:rPr>
          <w:rFonts w:hint="eastAsia" w:ascii="微软雅黑" w:hAnsi="微软雅黑" w:eastAsia="微软雅黑" w:cs="宋体"/>
          <w:color w:val="8C1B0B"/>
          <w:kern w:val="36"/>
          <w:sz w:val="36"/>
          <w:szCs w:val="36"/>
        </w:rPr>
        <w:t>国家级继续医学教育项目学分查询方法</w:t>
      </w:r>
    </w:p>
    <w:p w14:paraId="6715D993">
      <w:pPr>
        <w:pStyle w:val="9"/>
        <w:widowControl/>
        <w:shd w:val="clear" w:color="auto" w:fill="FFFFFF"/>
        <w:spacing w:line="480" w:lineRule="atLeast"/>
        <w:jc w:val="left"/>
        <w:rPr>
          <w:rFonts w:hint="default" w:ascii="微软雅黑" w:hAnsi="微软雅黑" w:eastAsia="微软雅黑"/>
          <w:color w:val="333333"/>
          <w:sz w:val="24"/>
          <w:szCs w:val="24"/>
          <w:shd w:val="clear" w:color="auto" w:fill="FFFFFF"/>
          <w:lang w:val="en-US" w:eastAsia="zh-CN"/>
        </w:rPr>
      </w:pPr>
      <w:r>
        <w:rPr>
          <w:rFonts w:hint="eastAsia" w:ascii="微软雅黑" w:hAnsi="微软雅黑" w:eastAsia="微软雅黑" w:cs="宋体"/>
          <w:color w:val="333333"/>
          <w:kern w:val="0"/>
          <w:sz w:val="24"/>
          <w:szCs w:val="24"/>
        </w:rPr>
        <w:t>中国毒理学会202</w:t>
      </w:r>
      <w:r>
        <w:rPr>
          <w:rFonts w:hint="eastAsia" w:ascii="微软雅黑" w:hAnsi="微软雅黑" w:eastAsia="微软雅黑" w:cs="宋体"/>
          <w:color w:val="333333"/>
          <w:kern w:val="0"/>
          <w:sz w:val="24"/>
          <w:szCs w:val="24"/>
          <w:lang w:val="en-US" w:eastAsia="zh-CN"/>
        </w:rPr>
        <w:t>0-2024</w:t>
      </w:r>
      <w:bookmarkStart w:id="0" w:name="_GoBack"/>
      <w:bookmarkEnd w:id="0"/>
      <w:r>
        <w:rPr>
          <w:rFonts w:hint="eastAsia" w:ascii="微软雅黑" w:hAnsi="微软雅黑" w:eastAsia="微软雅黑" w:cs="宋体"/>
          <w:color w:val="333333"/>
          <w:kern w:val="0"/>
          <w:sz w:val="24"/>
          <w:szCs w:val="24"/>
          <w:lang w:val="en-US" w:eastAsia="zh-CN"/>
        </w:rPr>
        <w:t>年</w:t>
      </w:r>
      <w:r>
        <w:rPr>
          <w:rFonts w:hint="eastAsia" w:ascii="微软雅黑" w:hAnsi="微软雅黑" w:eastAsia="微软雅黑" w:cs="宋体"/>
          <w:color w:val="333333"/>
          <w:kern w:val="0"/>
          <w:sz w:val="24"/>
          <w:szCs w:val="24"/>
        </w:rPr>
        <w:t>执行的</w:t>
      </w:r>
      <w:r>
        <w:rPr>
          <w:rFonts w:hint="eastAsia" w:ascii="微软雅黑" w:hAnsi="微软雅黑" w:eastAsia="微软雅黑" w:cs="宋体"/>
          <w:color w:val="333333"/>
          <w:kern w:val="0"/>
          <w:sz w:val="24"/>
          <w:szCs w:val="24"/>
          <w:lang w:val="en-US" w:eastAsia="zh-CN"/>
        </w:rPr>
        <w:t>国家级</w:t>
      </w:r>
      <w:r>
        <w:rPr>
          <w:rFonts w:hint="eastAsia" w:ascii="微软雅黑" w:hAnsi="微软雅黑" w:eastAsia="微软雅黑"/>
          <w:color w:val="333333"/>
          <w:sz w:val="24"/>
          <w:szCs w:val="24"/>
          <w:shd w:val="clear" w:color="auto" w:fill="FFFFFF"/>
        </w:rPr>
        <w:t>继续医学教育项目</w:t>
      </w:r>
      <w:r>
        <w:rPr>
          <w:rFonts w:hint="eastAsia" w:ascii="微软雅黑" w:hAnsi="微软雅黑" w:eastAsia="微软雅黑"/>
          <w:color w:val="333333"/>
          <w:sz w:val="24"/>
          <w:szCs w:val="24"/>
          <w:shd w:val="clear" w:color="auto" w:fill="FFFFFF"/>
          <w:lang w:val="en-US" w:eastAsia="zh-CN"/>
        </w:rPr>
        <w:t>可以到继教网下载电子学分证书，网址及查询方法见下文。</w:t>
      </w:r>
    </w:p>
    <w:p w14:paraId="656A8C7B">
      <w:pPr>
        <w:pStyle w:val="9"/>
        <w:widowControl/>
        <w:shd w:val="clear" w:color="auto" w:fill="FFFFFF"/>
        <w:spacing w:line="480" w:lineRule="atLeast"/>
        <w:jc w:val="left"/>
        <w:rPr>
          <w:rFonts w:ascii="微软雅黑" w:hAnsi="微软雅黑" w:eastAsia="微软雅黑" w:cs="宋体"/>
          <w:color w:val="333333"/>
          <w:kern w:val="0"/>
          <w:sz w:val="24"/>
          <w:szCs w:val="24"/>
        </w:rPr>
      </w:pPr>
      <w:r>
        <w:rPr>
          <w:rFonts w:hint="eastAsia" w:ascii="微软雅黑" w:hAnsi="微软雅黑" w:eastAsia="微软雅黑"/>
          <w:color w:val="333333"/>
          <w:sz w:val="24"/>
          <w:szCs w:val="24"/>
          <w:shd w:val="clear" w:color="auto" w:fill="FFFFFF"/>
        </w:rPr>
        <w:t>清单如下，</w:t>
      </w:r>
      <w:r>
        <w:rPr>
          <w:rFonts w:hint="eastAsia" w:ascii="微软雅黑" w:hAnsi="微软雅黑" w:eastAsia="微软雅黑" w:cs="宋体"/>
          <w:color w:val="333333"/>
          <w:kern w:val="0"/>
          <w:sz w:val="24"/>
          <w:szCs w:val="24"/>
        </w:rPr>
        <w:t>名称及编号：</w:t>
      </w:r>
    </w:p>
    <w:tbl>
      <w:tblPr>
        <w:tblStyle w:val="4"/>
        <w:tblW w:w="4828" w:type="pct"/>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2892"/>
        <w:gridCol w:w="5204"/>
      </w:tblGrid>
      <w:tr w14:paraId="43D9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24" w:hRule="atLeast"/>
          <w:tblHeader/>
          <w:tblCellSpacing w:w="7" w:type="dxa"/>
          <w:jc w:val="center"/>
        </w:trPr>
        <w:tc>
          <w:tcPr>
            <w:tcW w:w="1773" w:type="pct"/>
            <w:shd w:val="clear" w:color="auto" w:fill="auto"/>
            <w:vAlign w:val="center"/>
          </w:tcPr>
          <w:p w14:paraId="4015892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b/>
                <w:sz w:val="24"/>
                <w:szCs w:val="24"/>
              </w:rPr>
            </w:pPr>
            <w:r>
              <w:rPr>
                <w:rFonts w:ascii="宋体" w:hAnsi="宋体" w:eastAsia="宋体" w:cs="宋体"/>
                <w:b/>
                <w:kern w:val="0"/>
                <w:sz w:val="24"/>
                <w:szCs w:val="24"/>
                <w:lang w:val="en-US" w:eastAsia="zh-CN" w:bidi="ar"/>
              </w:rPr>
              <w:t>项目编号</w:t>
            </w:r>
          </w:p>
        </w:tc>
        <w:tc>
          <w:tcPr>
            <w:tcW w:w="3200" w:type="pct"/>
            <w:shd w:val="clear" w:color="auto" w:fill="auto"/>
            <w:vAlign w:val="center"/>
          </w:tcPr>
          <w:p w14:paraId="2B67A38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b/>
                <w:sz w:val="24"/>
                <w:szCs w:val="24"/>
              </w:rPr>
            </w:pPr>
            <w:r>
              <w:rPr>
                <w:rFonts w:ascii="宋体" w:hAnsi="宋体" w:eastAsia="宋体" w:cs="宋体"/>
                <w:b/>
                <w:kern w:val="0"/>
                <w:sz w:val="24"/>
                <w:szCs w:val="24"/>
                <w:lang w:val="en-US" w:eastAsia="zh-CN" w:bidi="ar"/>
              </w:rPr>
              <w:t>项目名称</w:t>
            </w:r>
          </w:p>
        </w:tc>
      </w:tr>
      <w:tr w14:paraId="04EA1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44A9894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sz w:val="24"/>
                <w:szCs w:val="24"/>
              </w:rPr>
            </w:pPr>
            <w:r>
              <w:rPr>
                <w:rFonts w:ascii="宋体" w:hAnsi="宋体" w:eastAsia="宋体" w:cs="宋体"/>
                <w:kern w:val="0"/>
                <w:sz w:val="24"/>
                <w:szCs w:val="24"/>
                <w:lang w:val="en-US" w:eastAsia="zh-CN" w:bidi="ar"/>
              </w:rPr>
              <w:t>2020-12-01-014</w:t>
            </w:r>
          </w:p>
        </w:tc>
        <w:tc>
          <w:tcPr>
            <w:tcW w:w="3200" w:type="pct"/>
            <w:shd w:val="clear" w:color="auto" w:fill="auto"/>
            <w:vAlign w:val="center"/>
          </w:tcPr>
          <w:p w14:paraId="67B92765">
            <w:pPr>
              <w:keepNext w:val="0"/>
              <w:keepLines w:val="0"/>
              <w:pageBreakBefore w:val="0"/>
              <w:widowControl/>
              <w:suppressLineNumbers w:val="0"/>
              <w:kinsoku/>
              <w:wordWrap/>
              <w:overflowPunct/>
              <w:topLinePunct w:val="0"/>
              <w:autoSpaceDE/>
              <w:autoSpaceDN/>
              <w:bidi w:val="0"/>
              <w:adjustRightInd w:val="0"/>
              <w:snapToGrid w:val="0"/>
              <w:ind w:left="0" w:leftChars="0" w:firstLine="218" w:firstLineChars="91"/>
              <w:jc w:val="both"/>
              <w:textAlignment w:val="auto"/>
              <w:rPr>
                <w:sz w:val="24"/>
                <w:szCs w:val="24"/>
              </w:rPr>
            </w:pPr>
            <w:r>
              <w:rPr>
                <w:rFonts w:ascii="宋体" w:hAnsi="宋体" w:eastAsia="宋体" w:cs="宋体"/>
                <w:kern w:val="0"/>
                <w:sz w:val="24"/>
                <w:szCs w:val="24"/>
                <w:lang w:val="en-US" w:eastAsia="zh-CN" w:bidi="ar"/>
              </w:rPr>
              <w:t>突发化学中毒事件应急处置技术骨干培训班</w:t>
            </w:r>
          </w:p>
        </w:tc>
      </w:tr>
      <w:tr w14:paraId="579B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624663D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sz w:val="24"/>
                <w:szCs w:val="24"/>
              </w:rPr>
            </w:pPr>
            <w:r>
              <w:rPr>
                <w:rFonts w:ascii="宋体" w:hAnsi="宋体" w:eastAsia="宋体" w:cs="宋体"/>
                <w:kern w:val="0"/>
                <w:sz w:val="24"/>
                <w:szCs w:val="24"/>
                <w:lang w:val="en-US" w:eastAsia="zh-CN" w:bidi="ar"/>
              </w:rPr>
              <w:t>2020-13-01-098</w:t>
            </w:r>
          </w:p>
        </w:tc>
        <w:tc>
          <w:tcPr>
            <w:tcW w:w="3200" w:type="pct"/>
            <w:shd w:val="clear" w:color="auto" w:fill="auto"/>
            <w:vAlign w:val="center"/>
          </w:tcPr>
          <w:p w14:paraId="5E66C2B6">
            <w:pPr>
              <w:keepNext w:val="0"/>
              <w:keepLines w:val="0"/>
              <w:pageBreakBefore w:val="0"/>
              <w:widowControl/>
              <w:suppressLineNumbers w:val="0"/>
              <w:kinsoku/>
              <w:wordWrap/>
              <w:overflowPunct/>
              <w:topLinePunct w:val="0"/>
              <w:autoSpaceDE/>
              <w:autoSpaceDN/>
              <w:bidi w:val="0"/>
              <w:adjustRightInd w:val="0"/>
              <w:snapToGrid w:val="0"/>
              <w:ind w:left="0" w:leftChars="0" w:firstLine="218" w:firstLineChars="91"/>
              <w:jc w:val="both"/>
              <w:textAlignment w:val="auto"/>
              <w:rPr>
                <w:sz w:val="24"/>
                <w:szCs w:val="24"/>
              </w:rPr>
            </w:pPr>
            <w:r>
              <w:rPr>
                <w:rFonts w:ascii="宋体" w:hAnsi="宋体" w:eastAsia="宋体" w:cs="宋体"/>
                <w:kern w:val="0"/>
                <w:sz w:val="24"/>
                <w:szCs w:val="24"/>
                <w:lang w:val="en-US" w:eastAsia="zh-CN" w:bidi="ar"/>
              </w:rPr>
              <w:t>上市药品风险评价与风险管理研讨会</w:t>
            </w:r>
          </w:p>
        </w:tc>
      </w:tr>
      <w:tr w14:paraId="606A2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700C399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sz w:val="24"/>
                <w:szCs w:val="24"/>
              </w:rPr>
            </w:pPr>
            <w:r>
              <w:rPr>
                <w:rFonts w:ascii="宋体" w:hAnsi="宋体" w:eastAsia="宋体" w:cs="宋体"/>
                <w:kern w:val="0"/>
                <w:sz w:val="24"/>
                <w:szCs w:val="24"/>
                <w:lang w:val="en-US" w:eastAsia="zh-CN" w:bidi="ar"/>
              </w:rPr>
              <w:t>2020-12-04-002</w:t>
            </w:r>
          </w:p>
        </w:tc>
        <w:tc>
          <w:tcPr>
            <w:tcW w:w="3200" w:type="pct"/>
            <w:shd w:val="clear" w:color="auto" w:fill="auto"/>
            <w:vAlign w:val="center"/>
          </w:tcPr>
          <w:p w14:paraId="70B42538">
            <w:pPr>
              <w:keepNext w:val="0"/>
              <w:keepLines w:val="0"/>
              <w:pageBreakBefore w:val="0"/>
              <w:widowControl/>
              <w:suppressLineNumbers w:val="0"/>
              <w:kinsoku/>
              <w:wordWrap/>
              <w:overflowPunct/>
              <w:topLinePunct w:val="0"/>
              <w:autoSpaceDE/>
              <w:autoSpaceDN/>
              <w:bidi w:val="0"/>
              <w:adjustRightInd w:val="0"/>
              <w:snapToGrid w:val="0"/>
              <w:ind w:left="0" w:leftChars="0" w:firstLine="218" w:firstLineChars="91"/>
              <w:jc w:val="both"/>
              <w:textAlignment w:val="auto"/>
              <w:rPr>
                <w:sz w:val="24"/>
                <w:szCs w:val="24"/>
              </w:rPr>
            </w:pPr>
            <w:r>
              <w:rPr>
                <w:rFonts w:ascii="宋体" w:hAnsi="宋体" w:eastAsia="宋体" w:cs="宋体"/>
                <w:kern w:val="0"/>
                <w:sz w:val="24"/>
                <w:szCs w:val="24"/>
                <w:lang w:val="en-US" w:eastAsia="zh-CN" w:bidi="ar"/>
              </w:rPr>
              <w:t>中国毒理学会第七次中青年学者科技论坛</w:t>
            </w:r>
          </w:p>
        </w:tc>
      </w:tr>
      <w:tr w14:paraId="1AD56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25F95EE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sz w:val="24"/>
                <w:szCs w:val="24"/>
              </w:rPr>
            </w:pPr>
            <w:r>
              <w:rPr>
                <w:rFonts w:ascii="宋体" w:hAnsi="宋体" w:eastAsia="宋体" w:cs="宋体"/>
                <w:kern w:val="0"/>
                <w:sz w:val="24"/>
                <w:szCs w:val="24"/>
                <w:lang w:val="en-US" w:eastAsia="zh-CN" w:bidi="ar"/>
              </w:rPr>
              <w:t>2020-12-01-015</w:t>
            </w:r>
          </w:p>
        </w:tc>
        <w:tc>
          <w:tcPr>
            <w:tcW w:w="3200" w:type="pct"/>
            <w:shd w:val="clear" w:color="auto" w:fill="auto"/>
            <w:vAlign w:val="center"/>
          </w:tcPr>
          <w:p w14:paraId="6D2860B4">
            <w:pPr>
              <w:keepNext w:val="0"/>
              <w:keepLines w:val="0"/>
              <w:pageBreakBefore w:val="0"/>
              <w:widowControl/>
              <w:suppressLineNumbers w:val="0"/>
              <w:kinsoku/>
              <w:wordWrap/>
              <w:overflowPunct/>
              <w:topLinePunct w:val="0"/>
              <w:autoSpaceDE/>
              <w:autoSpaceDN/>
              <w:bidi w:val="0"/>
              <w:adjustRightInd w:val="0"/>
              <w:snapToGrid w:val="0"/>
              <w:ind w:left="0" w:leftChars="0" w:firstLine="218" w:firstLineChars="91"/>
              <w:jc w:val="both"/>
              <w:textAlignment w:val="auto"/>
              <w:rPr>
                <w:sz w:val="24"/>
                <w:szCs w:val="24"/>
              </w:rPr>
            </w:pPr>
            <w:r>
              <w:rPr>
                <w:rFonts w:ascii="宋体" w:hAnsi="宋体" w:eastAsia="宋体" w:cs="宋体"/>
                <w:kern w:val="0"/>
                <w:sz w:val="24"/>
                <w:szCs w:val="24"/>
                <w:lang w:val="en-US" w:eastAsia="zh-CN" w:bidi="ar"/>
              </w:rPr>
              <w:t>中国毒理学会神经毒理专业委员会学术年会</w:t>
            </w:r>
          </w:p>
        </w:tc>
      </w:tr>
      <w:tr w14:paraId="6978E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5D5CE5C3">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2021-13-01-153</w:t>
            </w:r>
          </w:p>
        </w:tc>
        <w:tc>
          <w:tcPr>
            <w:tcW w:w="3200" w:type="pct"/>
            <w:shd w:val="clear" w:color="auto" w:fill="auto"/>
            <w:vAlign w:val="center"/>
          </w:tcPr>
          <w:p w14:paraId="3AF57A97">
            <w:pPr>
              <w:keepNext w:val="0"/>
              <w:keepLines w:val="0"/>
              <w:pageBreakBefore w:val="0"/>
              <w:widowControl/>
              <w:suppressLineNumbers w:val="0"/>
              <w:kinsoku/>
              <w:wordWrap/>
              <w:overflowPunct/>
              <w:topLinePunct w:val="0"/>
              <w:autoSpaceDE/>
              <w:autoSpaceDN/>
              <w:bidi w:val="0"/>
              <w:adjustRightInd w:val="0"/>
              <w:snapToGrid w:val="0"/>
              <w:ind w:left="0" w:leftChars="0" w:firstLine="218" w:firstLineChars="91"/>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上市药品风险评价与风险管理研讨会</w:t>
            </w:r>
          </w:p>
        </w:tc>
      </w:tr>
      <w:tr w14:paraId="0C390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16ABC64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2021-12-04-001</w:t>
            </w:r>
          </w:p>
        </w:tc>
        <w:tc>
          <w:tcPr>
            <w:tcW w:w="3200" w:type="pct"/>
            <w:shd w:val="clear" w:color="auto" w:fill="auto"/>
            <w:vAlign w:val="center"/>
          </w:tcPr>
          <w:p w14:paraId="636516B2">
            <w:pPr>
              <w:keepNext w:val="0"/>
              <w:keepLines w:val="0"/>
              <w:pageBreakBefore w:val="0"/>
              <w:widowControl/>
              <w:suppressLineNumbers w:val="0"/>
              <w:kinsoku/>
              <w:wordWrap/>
              <w:overflowPunct/>
              <w:topLinePunct w:val="0"/>
              <w:autoSpaceDE/>
              <w:autoSpaceDN/>
              <w:bidi w:val="0"/>
              <w:adjustRightInd w:val="0"/>
              <w:snapToGrid w:val="0"/>
              <w:ind w:left="0" w:leftChars="0" w:firstLine="218" w:firstLineChars="91"/>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第十三次现代毒理学基础与进展高级研修班</w:t>
            </w:r>
          </w:p>
        </w:tc>
      </w:tr>
      <w:tr w14:paraId="62D5B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03979410">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2021-12-04-002</w:t>
            </w:r>
          </w:p>
        </w:tc>
        <w:tc>
          <w:tcPr>
            <w:tcW w:w="3200" w:type="pct"/>
            <w:shd w:val="clear" w:color="auto" w:fill="auto"/>
            <w:vAlign w:val="center"/>
          </w:tcPr>
          <w:p w14:paraId="0838CDE9">
            <w:pPr>
              <w:keepNext w:val="0"/>
              <w:keepLines w:val="0"/>
              <w:pageBreakBefore w:val="0"/>
              <w:widowControl/>
              <w:suppressLineNumbers w:val="0"/>
              <w:kinsoku/>
              <w:wordWrap/>
              <w:overflowPunct/>
              <w:topLinePunct w:val="0"/>
              <w:autoSpaceDE/>
              <w:autoSpaceDN/>
              <w:bidi w:val="0"/>
              <w:adjustRightInd w:val="0"/>
              <w:snapToGrid w:val="0"/>
              <w:ind w:left="0" w:leftChars="0" w:firstLine="218" w:firstLineChars="91"/>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中国毒理学会第八次中青年学者科技论坛</w:t>
            </w:r>
          </w:p>
        </w:tc>
      </w:tr>
      <w:tr w14:paraId="6C763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488AB8E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2022-10-01-082</w:t>
            </w:r>
          </w:p>
        </w:tc>
        <w:tc>
          <w:tcPr>
            <w:tcW w:w="3200" w:type="pct"/>
            <w:shd w:val="clear" w:color="auto" w:fill="auto"/>
            <w:vAlign w:val="center"/>
          </w:tcPr>
          <w:p w14:paraId="78A67567">
            <w:pPr>
              <w:keepNext w:val="0"/>
              <w:keepLines w:val="0"/>
              <w:pageBreakBefore w:val="0"/>
              <w:widowControl/>
              <w:suppressLineNumbers w:val="0"/>
              <w:kinsoku/>
              <w:wordWrap/>
              <w:overflowPunct/>
              <w:topLinePunct w:val="0"/>
              <w:autoSpaceDE/>
              <w:autoSpaceDN/>
              <w:bidi w:val="0"/>
              <w:adjustRightInd w:val="0"/>
              <w:snapToGrid w:val="0"/>
              <w:ind w:left="0" w:leftChars="0" w:firstLine="218" w:firstLineChars="91"/>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第十四届中毒及危重症救治全国研讨会</w:t>
            </w:r>
          </w:p>
        </w:tc>
      </w:tr>
      <w:tr w14:paraId="19EF2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3C7FD50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2022-13-01-078</w:t>
            </w:r>
          </w:p>
        </w:tc>
        <w:tc>
          <w:tcPr>
            <w:tcW w:w="3200" w:type="pct"/>
            <w:shd w:val="clear" w:color="auto" w:fill="auto"/>
            <w:vAlign w:val="center"/>
          </w:tcPr>
          <w:p w14:paraId="23EEE55E">
            <w:pPr>
              <w:keepNext w:val="0"/>
              <w:keepLines w:val="0"/>
              <w:pageBreakBefore w:val="0"/>
              <w:widowControl/>
              <w:suppressLineNumbers w:val="0"/>
              <w:kinsoku/>
              <w:wordWrap/>
              <w:overflowPunct/>
              <w:topLinePunct w:val="0"/>
              <w:autoSpaceDE/>
              <w:autoSpaceDN/>
              <w:bidi w:val="0"/>
              <w:adjustRightInd w:val="0"/>
              <w:snapToGrid w:val="0"/>
              <w:ind w:left="0" w:leftChars="0" w:firstLine="218" w:firstLineChars="91"/>
              <w:jc w:val="both"/>
              <w:textAlignment w:val="auto"/>
              <w:rPr>
                <w:rFonts w:hint="eastAsia"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药品风险评价及风险管理会议</w:t>
            </w:r>
          </w:p>
        </w:tc>
      </w:tr>
      <w:tr w14:paraId="2446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411FB43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2023-10-01-009</w:t>
            </w:r>
          </w:p>
        </w:tc>
        <w:tc>
          <w:tcPr>
            <w:tcW w:w="3200" w:type="pct"/>
            <w:shd w:val="clear" w:color="auto" w:fill="auto"/>
            <w:vAlign w:val="top"/>
          </w:tcPr>
          <w:p w14:paraId="5970959E">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i w:val="0"/>
                <w:iCs w:val="0"/>
                <w:kern w:val="0"/>
                <w:sz w:val="24"/>
                <w:szCs w:val="24"/>
                <w:u w:val="none"/>
                <w:lang w:val="en-US" w:eastAsia="zh-CN" w:bidi="ar"/>
              </w:rPr>
            </w:pPr>
            <w:r>
              <w:rPr>
                <w:rFonts w:hint="default" w:ascii="宋体" w:hAnsi="宋体" w:eastAsia="宋体" w:cs="宋体"/>
                <w:i w:val="0"/>
                <w:iCs w:val="0"/>
                <w:kern w:val="0"/>
                <w:sz w:val="24"/>
                <w:szCs w:val="24"/>
                <w:u w:val="none"/>
                <w:lang w:val="en-US" w:eastAsia="zh-CN" w:bidi="ar"/>
              </w:rPr>
              <w:t>第十五届中毒及危重症救治全国研讨会</w:t>
            </w:r>
          </w:p>
        </w:tc>
      </w:tr>
      <w:tr w14:paraId="4F49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4E6AAF5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2023-12-01-007</w:t>
            </w:r>
          </w:p>
        </w:tc>
        <w:tc>
          <w:tcPr>
            <w:tcW w:w="3200" w:type="pct"/>
            <w:shd w:val="clear" w:color="auto" w:fill="auto"/>
            <w:vAlign w:val="top"/>
          </w:tcPr>
          <w:p w14:paraId="71591EA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i w:val="0"/>
                <w:iCs w:val="0"/>
                <w:kern w:val="0"/>
                <w:sz w:val="24"/>
                <w:szCs w:val="24"/>
                <w:u w:val="none"/>
                <w:lang w:val="en-US" w:eastAsia="zh-CN" w:bidi="ar"/>
              </w:rPr>
            </w:pPr>
            <w:r>
              <w:rPr>
                <w:rFonts w:hint="default" w:ascii="宋体" w:hAnsi="宋体" w:eastAsia="宋体" w:cs="宋体"/>
                <w:i w:val="0"/>
                <w:iCs w:val="0"/>
                <w:kern w:val="0"/>
                <w:sz w:val="24"/>
                <w:szCs w:val="24"/>
                <w:u w:val="none"/>
                <w:lang w:val="en-US" w:eastAsia="zh-CN" w:bidi="ar"/>
              </w:rPr>
              <w:t>突发化学中毒事件应急处置技术骨干培训班</w:t>
            </w:r>
          </w:p>
        </w:tc>
      </w:tr>
      <w:tr w14:paraId="4E97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66797BE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2023-12-04-001</w:t>
            </w:r>
          </w:p>
        </w:tc>
        <w:tc>
          <w:tcPr>
            <w:tcW w:w="3200" w:type="pct"/>
            <w:shd w:val="clear" w:color="auto" w:fill="auto"/>
            <w:vAlign w:val="top"/>
          </w:tcPr>
          <w:p w14:paraId="6A818EC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i w:val="0"/>
                <w:iCs w:val="0"/>
                <w:kern w:val="0"/>
                <w:sz w:val="24"/>
                <w:szCs w:val="24"/>
                <w:u w:val="none"/>
                <w:lang w:val="en-US" w:eastAsia="zh-CN" w:bidi="ar"/>
              </w:rPr>
            </w:pPr>
            <w:r>
              <w:rPr>
                <w:rFonts w:hint="default" w:ascii="宋体" w:hAnsi="宋体" w:eastAsia="宋体" w:cs="宋体"/>
                <w:i w:val="0"/>
                <w:iCs w:val="0"/>
                <w:kern w:val="0"/>
                <w:sz w:val="24"/>
                <w:szCs w:val="24"/>
                <w:u w:val="none"/>
                <w:lang w:val="en-US" w:eastAsia="zh-CN" w:bidi="ar"/>
              </w:rPr>
              <w:t>中国毒理学会第九次中青年学者科技论坛</w:t>
            </w:r>
          </w:p>
        </w:tc>
      </w:tr>
      <w:tr w14:paraId="0188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4FC7E4F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2023-12-04-002</w:t>
            </w:r>
          </w:p>
        </w:tc>
        <w:tc>
          <w:tcPr>
            <w:tcW w:w="3200" w:type="pct"/>
            <w:shd w:val="clear" w:color="auto" w:fill="auto"/>
            <w:vAlign w:val="top"/>
          </w:tcPr>
          <w:p w14:paraId="433F9A89">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i w:val="0"/>
                <w:iCs w:val="0"/>
                <w:kern w:val="0"/>
                <w:sz w:val="24"/>
                <w:szCs w:val="24"/>
                <w:u w:val="none"/>
                <w:lang w:val="en-US" w:eastAsia="zh-CN" w:bidi="ar"/>
              </w:rPr>
            </w:pPr>
            <w:r>
              <w:rPr>
                <w:rFonts w:hint="default" w:ascii="宋体" w:hAnsi="宋体" w:eastAsia="宋体" w:cs="宋体"/>
                <w:i w:val="0"/>
                <w:iCs w:val="0"/>
                <w:kern w:val="0"/>
                <w:sz w:val="24"/>
                <w:szCs w:val="24"/>
                <w:u w:val="none"/>
                <w:lang w:val="en-US" w:eastAsia="zh-CN" w:bidi="ar"/>
              </w:rPr>
              <w:t>第三届中国毒理学会生物技术药物毒理与安全性评价专业委员会学术交流会议</w:t>
            </w:r>
          </w:p>
        </w:tc>
      </w:tr>
      <w:tr w14:paraId="7C542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560C3FF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2023-12-04-011</w:t>
            </w:r>
          </w:p>
        </w:tc>
        <w:tc>
          <w:tcPr>
            <w:tcW w:w="3200" w:type="pct"/>
            <w:shd w:val="clear" w:color="auto" w:fill="auto"/>
            <w:vAlign w:val="top"/>
          </w:tcPr>
          <w:p w14:paraId="2FC471E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i w:val="0"/>
                <w:iCs w:val="0"/>
                <w:kern w:val="0"/>
                <w:sz w:val="24"/>
                <w:szCs w:val="24"/>
                <w:u w:val="none"/>
                <w:lang w:val="en-US" w:eastAsia="zh-CN" w:bidi="ar"/>
              </w:rPr>
            </w:pPr>
            <w:r>
              <w:rPr>
                <w:rFonts w:hint="default" w:ascii="宋体" w:hAnsi="宋体" w:eastAsia="宋体" w:cs="宋体"/>
                <w:i w:val="0"/>
                <w:iCs w:val="0"/>
                <w:kern w:val="0"/>
                <w:sz w:val="24"/>
                <w:szCs w:val="24"/>
                <w:u w:val="none"/>
                <w:lang w:val="en-US" w:eastAsia="zh-CN" w:bidi="ar"/>
              </w:rPr>
              <w:t>气溶胶吸入暴露理论与实践</w:t>
            </w:r>
          </w:p>
        </w:tc>
      </w:tr>
      <w:tr w14:paraId="0757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2CFD9D3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2023-12-04-012</w:t>
            </w:r>
          </w:p>
        </w:tc>
        <w:tc>
          <w:tcPr>
            <w:tcW w:w="3200" w:type="pct"/>
            <w:shd w:val="clear" w:color="auto" w:fill="auto"/>
            <w:vAlign w:val="top"/>
          </w:tcPr>
          <w:p w14:paraId="7769A17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i w:val="0"/>
                <w:iCs w:val="0"/>
                <w:kern w:val="0"/>
                <w:sz w:val="24"/>
                <w:szCs w:val="24"/>
                <w:u w:val="none"/>
                <w:lang w:val="en-US" w:eastAsia="zh-CN" w:bidi="ar"/>
              </w:rPr>
            </w:pPr>
            <w:r>
              <w:rPr>
                <w:rFonts w:hint="default" w:ascii="宋体" w:hAnsi="宋体" w:eastAsia="宋体" w:cs="宋体"/>
                <w:i w:val="0"/>
                <w:iCs w:val="0"/>
                <w:kern w:val="0"/>
                <w:sz w:val="24"/>
                <w:szCs w:val="24"/>
                <w:u w:val="none"/>
                <w:lang w:val="en-US" w:eastAsia="zh-CN" w:bidi="ar"/>
              </w:rPr>
              <w:t>中国毒理学会第十次全国毒理学大会</w:t>
            </w:r>
          </w:p>
        </w:tc>
      </w:tr>
      <w:tr w14:paraId="0659A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2E8AFE6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2023-12-04-015</w:t>
            </w:r>
          </w:p>
        </w:tc>
        <w:tc>
          <w:tcPr>
            <w:tcW w:w="3200" w:type="pct"/>
            <w:shd w:val="clear" w:color="auto" w:fill="auto"/>
            <w:vAlign w:val="top"/>
          </w:tcPr>
          <w:p w14:paraId="7E04894F">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i w:val="0"/>
                <w:iCs w:val="0"/>
                <w:kern w:val="0"/>
                <w:sz w:val="24"/>
                <w:szCs w:val="24"/>
                <w:u w:val="none"/>
                <w:lang w:val="en-US" w:eastAsia="zh-CN" w:bidi="ar"/>
              </w:rPr>
            </w:pPr>
            <w:r>
              <w:rPr>
                <w:rFonts w:hint="default" w:ascii="宋体" w:hAnsi="宋体" w:eastAsia="宋体" w:cs="宋体"/>
                <w:i w:val="0"/>
                <w:iCs w:val="0"/>
                <w:kern w:val="0"/>
                <w:sz w:val="24"/>
                <w:szCs w:val="24"/>
                <w:u w:val="none"/>
                <w:lang w:val="en-US" w:eastAsia="zh-CN" w:bidi="ar"/>
              </w:rPr>
              <w:t>中国毒理学会生物技术药物毒理与安全性评价专业委员会2023年学术交流会议</w:t>
            </w:r>
          </w:p>
        </w:tc>
      </w:tr>
      <w:tr w14:paraId="3D54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7F0610D2">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2023-12-04-016</w:t>
            </w:r>
          </w:p>
        </w:tc>
        <w:tc>
          <w:tcPr>
            <w:tcW w:w="3200" w:type="pct"/>
            <w:shd w:val="clear" w:color="auto" w:fill="auto"/>
            <w:vAlign w:val="top"/>
          </w:tcPr>
          <w:p w14:paraId="2B8C8DD1">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i w:val="0"/>
                <w:iCs w:val="0"/>
                <w:kern w:val="0"/>
                <w:sz w:val="24"/>
                <w:szCs w:val="24"/>
                <w:u w:val="none"/>
                <w:lang w:val="en-US" w:eastAsia="zh-CN" w:bidi="ar"/>
              </w:rPr>
            </w:pPr>
            <w:r>
              <w:rPr>
                <w:rFonts w:hint="default" w:ascii="宋体" w:hAnsi="宋体" w:eastAsia="宋体" w:cs="宋体"/>
                <w:i w:val="0"/>
                <w:iCs w:val="0"/>
                <w:kern w:val="0"/>
                <w:sz w:val="24"/>
                <w:szCs w:val="24"/>
                <w:u w:val="none"/>
                <w:lang w:val="en-US" w:eastAsia="zh-CN" w:bidi="ar"/>
              </w:rPr>
              <w:t>毒性测试新技术方法和下一代风险评估培训会议</w:t>
            </w:r>
          </w:p>
        </w:tc>
      </w:tr>
      <w:tr w14:paraId="1635C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095BF6E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2023-12-04-018</w:t>
            </w:r>
          </w:p>
        </w:tc>
        <w:tc>
          <w:tcPr>
            <w:tcW w:w="3200" w:type="pct"/>
            <w:shd w:val="clear" w:color="auto" w:fill="auto"/>
            <w:vAlign w:val="top"/>
          </w:tcPr>
          <w:p w14:paraId="7B4DA594">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i w:val="0"/>
                <w:iCs w:val="0"/>
                <w:kern w:val="0"/>
                <w:sz w:val="24"/>
                <w:szCs w:val="24"/>
                <w:u w:val="none"/>
                <w:lang w:val="en-US" w:eastAsia="zh-CN" w:bidi="ar"/>
              </w:rPr>
            </w:pPr>
            <w:r>
              <w:rPr>
                <w:rFonts w:hint="default" w:ascii="宋体" w:hAnsi="宋体" w:eastAsia="宋体" w:cs="宋体"/>
                <w:i w:val="0"/>
                <w:iCs w:val="0"/>
                <w:kern w:val="0"/>
                <w:sz w:val="24"/>
                <w:szCs w:val="24"/>
                <w:u w:val="none"/>
                <w:lang w:val="en-US" w:eastAsia="zh-CN" w:bidi="ar"/>
              </w:rPr>
              <w:t>第十四次现代毒理学基础与进展高级研修班</w:t>
            </w:r>
          </w:p>
        </w:tc>
      </w:tr>
      <w:tr w14:paraId="5FFD9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439D755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2023-13-01-010</w:t>
            </w:r>
          </w:p>
        </w:tc>
        <w:tc>
          <w:tcPr>
            <w:tcW w:w="3200" w:type="pct"/>
            <w:shd w:val="clear" w:color="auto" w:fill="auto"/>
            <w:vAlign w:val="top"/>
          </w:tcPr>
          <w:p w14:paraId="0FFBA72A">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i w:val="0"/>
                <w:iCs w:val="0"/>
                <w:kern w:val="0"/>
                <w:sz w:val="24"/>
                <w:szCs w:val="24"/>
                <w:u w:val="none"/>
                <w:lang w:val="en-US" w:eastAsia="zh-CN" w:bidi="ar"/>
              </w:rPr>
            </w:pPr>
            <w:r>
              <w:rPr>
                <w:rFonts w:hint="default" w:ascii="宋体" w:hAnsi="宋体" w:eastAsia="宋体" w:cs="宋体"/>
                <w:i w:val="0"/>
                <w:iCs w:val="0"/>
                <w:kern w:val="0"/>
                <w:sz w:val="24"/>
                <w:szCs w:val="24"/>
                <w:u w:val="none"/>
                <w:lang w:val="en-US" w:eastAsia="zh-CN" w:bidi="ar"/>
              </w:rPr>
              <w:t>药品风险评价与风险管理会议</w:t>
            </w:r>
          </w:p>
        </w:tc>
      </w:tr>
      <w:tr w14:paraId="1794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51DC799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ascii="宋体" w:hAnsi="宋体" w:eastAsia="宋体" w:cs="宋体"/>
                <w:sz w:val="24"/>
                <w:szCs w:val="24"/>
              </w:rPr>
              <w:t>2024-12-04-013</w:t>
            </w:r>
          </w:p>
        </w:tc>
        <w:tc>
          <w:tcPr>
            <w:tcW w:w="3200" w:type="pct"/>
            <w:shd w:val="clear" w:color="auto" w:fill="auto"/>
            <w:vAlign w:val="top"/>
          </w:tcPr>
          <w:p w14:paraId="0DDF8D0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i/>
                <w:iCs/>
                <w:kern w:val="0"/>
                <w:sz w:val="24"/>
                <w:szCs w:val="24"/>
                <w:highlight w:val="none"/>
                <w:u w:val="single"/>
                <w:lang w:val="en-US" w:eastAsia="zh-CN" w:bidi="ar"/>
              </w:rPr>
            </w:pPr>
            <w:r>
              <w:rPr>
                <w:rFonts w:ascii="宋体" w:hAnsi="宋体" w:eastAsia="宋体" w:cs="宋体"/>
                <w:i/>
                <w:iCs/>
                <w:sz w:val="24"/>
                <w:szCs w:val="24"/>
                <w:highlight w:val="none"/>
                <w:u w:val="single"/>
              </w:rPr>
              <w:t>第十五次现代毒理学基础与进展高级研修班</w:t>
            </w:r>
          </w:p>
        </w:tc>
      </w:tr>
      <w:tr w14:paraId="2F21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54AE87DD">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ascii="宋体" w:hAnsi="宋体" w:eastAsia="宋体" w:cs="宋体"/>
                <w:sz w:val="24"/>
                <w:szCs w:val="24"/>
              </w:rPr>
              <w:t>2024-12-04-005</w:t>
            </w:r>
          </w:p>
        </w:tc>
        <w:tc>
          <w:tcPr>
            <w:tcW w:w="3200" w:type="pct"/>
            <w:shd w:val="clear" w:color="auto" w:fill="auto"/>
            <w:vAlign w:val="top"/>
          </w:tcPr>
          <w:p w14:paraId="31981D1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i/>
                <w:iCs/>
                <w:kern w:val="0"/>
                <w:sz w:val="24"/>
                <w:szCs w:val="24"/>
                <w:highlight w:val="none"/>
                <w:u w:val="single"/>
                <w:lang w:val="en-US" w:eastAsia="zh-CN" w:bidi="ar"/>
              </w:rPr>
            </w:pPr>
            <w:r>
              <w:rPr>
                <w:rFonts w:ascii="宋体" w:hAnsi="宋体" w:eastAsia="宋体" w:cs="宋体"/>
                <w:i/>
                <w:iCs/>
                <w:sz w:val="24"/>
                <w:szCs w:val="24"/>
                <w:highlight w:val="none"/>
                <w:u w:val="single"/>
              </w:rPr>
              <w:t>兽医毒理评价技术与创新研究</w:t>
            </w:r>
          </w:p>
        </w:tc>
      </w:tr>
      <w:tr w14:paraId="7437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47A783E8">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ascii="宋体" w:hAnsi="宋体" w:eastAsia="宋体" w:cs="宋体"/>
                <w:sz w:val="24"/>
                <w:szCs w:val="24"/>
              </w:rPr>
              <w:t>2024-13-04-041</w:t>
            </w:r>
          </w:p>
        </w:tc>
        <w:tc>
          <w:tcPr>
            <w:tcW w:w="3200" w:type="pct"/>
            <w:shd w:val="clear" w:color="auto" w:fill="auto"/>
            <w:vAlign w:val="top"/>
          </w:tcPr>
          <w:p w14:paraId="4268529C">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i/>
                <w:iCs/>
                <w:kern w:val="0"/>
                <w:sz w:val="24"/>
                <w:szCs w:val="24"/>
                <w:highlight w:val="none"/>
                <w:u w:val="single"/>
                <w:lang w:val="en-US" w:eastAsia="zh-CN" w:bidi="ar"/>
              </w:rPr>
            </w:pPr>
            <w:r>
              <w:rPr>
                <w:rFonts w:ascii="宋体" w:hAnsi="宋体" w:eastAsia="宋体" w:cs="宋体"/>
                <w:b w:val="0"/>
                <w:bCs w:val="0"/>
                <w:i w:val="0"/>
                <w:iCs w:val="0"/>
                <w:sz w:val="24"/>
                <w:szCs w:val="24"/>
                <w:highlight w:val="none"/>
                <w:u w:val="none"/>
              </w:rPr>
              <w:t>药品风险评价与风险管理会议</w:t>
            </w:r>
          </w:p>
        </w:tc>
      </w:tr>
      <w:tr w14:paraId="434B3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4B7012E7">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ascii="宋体" w:hAnsi="宋体" w:eastAsia="宋体" w:cs="宋体"/>
                <w:sz w:val="24"/>
                <w:szCs w:val="24"/>
              </w:rPr>
              <w:t>2024-12-01-007</w:t>
            </w:r>
          </w:p>
        </w:tc>
        <w:tc>
          <w:tcPr>
            <w:tcW w:w="3200" w:type="pct"/>
            <w:shd w:val="clear" w:color="auto" w:fill="auto"/>
            <w:vAlign w:val="top"/>
          </w:tcPr>
          <w:p w14:paraId="638FAB4B">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i/>
                <w:iCs/>
                <w:kern w:val="0"/>
                <w:sz w:val="24"/>
                <w:szCs w:val="24"/>
                <w:highlight w:val="none"/>
                <w:u w:val="single"/>
                <w:lang w:val="en-US" w:eastAsia="zh-CN" w:bidi="ar"/>
              </w:rPr>
            </w:pPr>
            <w:r>
              <w:rPr>
                <w:rFonts w:ascii="宋体" w:hAnsi="宋体" w:eastAsia="宋体" w:cs="宋体"/>
                <w:i/>
                <w:iCs/>
                <w:sz w:val="24"/>
                <w:szCs w:val="24"/>
                <w:highlight w:val="none"/>
                <w:u w:val="single"/>
              </w:rPr>
              <w:t>突发化学中毒事件应急处置技术骨干培训班</w:t>
            </w:r>
          </w:p>
        </w:tc>
      </w:tr>
      <w:tr w14:paraId="2E16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25227775">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ascii="宋体" w:hAnsi="宋体" w:eastAsia="宋体" w:cs="宋体"/>
                <w:sz w:val="24"/>
                <w:szCs w:val="24"/>
              </w:rPr>
              <w:t>2024-12-04-011</w:t>
            </w:r>
          </w:p>
        </w:tc>
        <w:tc>
          <w:tcPr>
            <w:tcW w:w="3200" w:type="pct"/>
            <w:shd w:val="clear" w:color="auto" w:fill="auto"/>
            <w:vAlign w:val="top"/>
          </w:tcPr>
          <w:p w14:paraId="57FC1069">
            <w:pPr>
              <w:jc w:val="center"/>
              <w:rPr>
                <w:rFonts w:hint="default" w:ascii="宋体" w:hAnsi="宋体" w:eastAsia="宋体" w:cs="宋体"/>
                <w:i/>
                <w:iCs/>
                <w:kern w:val="0"/>
                <w:sz w:val="24"/>
                <w:szCs w:val="24"/>
                <w:highlight w:val="none"/>
                <w:u w:val="single"/>
                <w:lang w:val="en-US" w:eastAsia="zh-CN" w:bidi="ar"/>
              </w:rPr>
            </w:pPr>
            <w:r>
              <w:rPr>
                <w:rFonts w:ascii="宋体" w:hAnsi="宋体" w:eastAsia="宋体" w:cs="宋体"/>
                <w:i/>
                <w:iCs/>
                <w:sz w:val="24"/>
                <w:szCs w:val="24"/>
                <w:highlight w:val="none"/>
                <w:u w:val="single"/>
              </w:rPr>
              <w:t>中国毒理学会生物技术药物毒理与安全性评价专业委员会2024年学术交流会议</w:t>
            </w:r>
          </w:p>
        </w:tc>
      </w:tr>
      <w:tr w14:paraId="58B79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blCellSpacing w:w="7" w:type="dxa"/>
          <w:jc w:val="center"/>
        </w:trPr>
        <w:tc>
          <w:tcPr>
            <w:tcW w:w="1773" w:type="pct"/>
            <w:shd w:val="clear" w:color="auto" w:fill="auto"/>
            <w:vAlign w:val="center"/>
          </w:tcPr>
          <w:p w14:paraId="32C54746">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宋体" w:hAnsi="宋体" w:eastAsia="宋体" w:cs="宋体"/>
                <w:kern w:val="0"/>
                <w:sz w:val="24"/>
                <w:szCs w:val="24"/>
                <w:lang w:val="en-US" w:eastAsia="zh-CN" w:bidi="ar"/>
              </w:rPr>
            </w:pPr>
            <w:r>
              <w:rPr>
                <w:rFonts w:ascii="宋体" w:hAnsi="宋体" w:eastAsia="宋体" w:cs="宋体"/>
                <w:sz w:val="24"/>
                <w:szCs w:val="24"/>
              </w:rPr>
              <w:t>2024-12-04-001</w:t>
            </w:r>
          </w:p>
        </w:tc>
        <w:tc>
          <w:tcPr>
            <w:tcW w:w="3200" w:type="pct"/>
            <w:shd w:val="clear" w:color="auto" w:fill="auto"/>
            <w:vAlign w:val="top"/>
          </w:tcPr>
          <w:p w14:paraId="01A0BA22">
            <w:pPr>
              <w:jc w:val="center"/>
              <w:rPr>
                <w:rFonts w:hint="default" w:ascii="宋体" w:hAnsi="宋体" w:eastAsia="宋体" w:cs="宋体"/>
                <w:i/>
                <w:iCs/>
                <w:kern w:val="0"/>
                <w:sz w:val="24"/>
                <w:szCs w:val="24"/>
                <w:highlight w:val="none"/>
                <w:u w:val="single"/>
                <w:lang w:val="en-US" w:eastAsia="zh-CN" w:bidi="ar"/>
              </w:rPr>
            </w:pPr>
            <w:r>
              <w:rPr>
                <w:rFonts w:ascii="宋体" w:hAnsi="宋体" w:eastAsia="宋体" w:cs="宋体"/>
                <w:i/>
                <w:iCs/>
                <w:sz w:val="24"/>
                <w:szCs w:val="24"/>
                <w:highlight w:val="none"/>
                <w:u w:val="single"/>
              </w:rPr>
              <w:t>中国毒理学会第十一次全国毒理学大会</w:t>
            </w:r>
          </w:p>
        </w:tc>
      </w:tr>
    </w:tbl>
    <w:p w14:paraId="6B353B40">
      <w:pPr>
        <w:pStyle w:val="9"/>
        <w:widowControl/>
        <w:shd w:val="clear" w:color="auto" w:fill="FFFFFF"/>
        <w:spacing w:line="480" w:lineRule="atLeast"/>
        <w:ind w:left="360" w:firstLine="0" w:firstLineChars="0"/>
        <w:jc w:val="left"/>
        <w:rPr>
          <w:rFonts w:hint="default" w:ascii="微软雅黑" w:hAnsi="微软雅黑" w:eastAsia="微软雅黑" w:cs="宋体"/>
          <w:b/>
          <w:bCs/>
          <w:color w:val="333333"/>
          <w:kern w:val="0"/>
          <w:sz w:val="24"/>
          <w:szCs w:val="24"/>
          <w:lang w:val="en-US" w:eastAsia="zh-CN"/>
        </w:rPr>
      </w:pPr>
      <w:r>
        <w:rPr>
          <w:rFonts w:hint="eastAsia" w:ascii="微软雅黑" w:hAnsi="微软雅黑" w:eastAsia="微软雅黑" w:cs="宋体"/>
          <w:b/>
          <w:bCs/>
          <w:color w:val="333333"/>
          <w:kern w:val="0"/>
          <w:sz w:val="24"/>
          <w:szCs w:val="24"/>
          <w:lang w:val="en-US" w:eastAsia="zh-CN"/>
        </w:rPr>
        <w:t>注：2024年加下划线的还未上报，请会议开完后两个月左右再查询。</w:t>
      </w:r>
    </w:p>
    <w:p w14:paraId="0D232E59">
      <w:pPr>
        <w:widowControl/>
        <w:shd w:val="clear" w:color="auto" w:fill="FFFFFF"/>
        <w:spacing w:line="480" w:lineRule="atLeast"/>
        <w:jc w:val="left"/>
        <w:rPr>
          <w:rFonts w:hint="eastAsia" w:ascii="微软雅黑" w:hAnsi="微软雅黑" w:eastAsia="微软雅黑" w:cs="宋体"/>
          <w:color w:val="333333"/>
          <w:kern w:val="0"/>
          <w:sz w:val="24"/>
          <w:szCs w:val="24"/>
        </w:rPr>
      </w:pPr>
      <w:r>
        <w:rPr>
          <w:rFonts w:hint="eastAsia" w:ascii="微软雅黑" w:hAnsi="微软雅黑" w:eastAsia="微软雅黑" w:cs="宋体"/>
          <w:color w:val="333333"/>
          <w:kern w:val="0"/>
          <w:sz w:val="24"/>
          <w:szCs w:val="24"/>
        </w:rPr>
        <w:t>　　</w:t>
      </w:r>
      <w:r>
        <w:rPr>
          <w:rFonts w:hint="eastAsia" w:ascii="微软雅黑" w:hAnsi="微软雅黑" w:eastAsia="微软雅黑" w:cs="宋体"/>
          <w:b/>
          <w:bCs/>
          <w:color w:val="333333"/>
          <w:kern w:val="0"/>
          <w:sz w:val="24"/>
          <w:szCs w:val="24"/>
        </w:rPr>
        <w:t>(一)查询步骤：</w:t>
      </w:r>
    </w:p>
    <w:p w14:paraId="3C7349DF">
      <w:pPr>
        <w:widowControl/>
        <w:shd w:val="clear" w:color="auto" w:fill="FFFFFF"/>
        <w:spacing w:line="480" w:lineRule="atLeast"/>
        <w:jc w:val="left"/>
        <w:rPr>
          <w:rFonts w:hint="eastAsia" w:ascii="微软雅黑" w:hAnsi="微软雅黑" w:eastAsia="微软雅黑" w:cs="宋体"/>
          <w:color w:val="333333"/>
          <w:kern w:val="0"/>
          <w:sz w:val="24"/>
          <w:szCs w:val="24"/>
        </w:rPr>
      </w:pPr>
      <w:r>
        <w:rPr>
          <w:rFonts w:hint="eastAsia" w:ascii="微软雅黑" w:hAnsi="微软雅黑" w:eastAsia="微软雅黑" w:cs="宋体"/>
          <w:color w:val="333333"/>
          <w:kern w:val="0"/>
          <w:sz w:val="24"/>
          <w:szCs w:val="24"/>
        </w:rPr>
        <w:t>　　请先登陆国家级CME项目网上申报及信息反馈系统。</w:t>
      </w:r>
    </w:p>
    <w:p w14:paraId="5A9B0097">
      <w:pPr>
        <w:widowControl/>
        <w:shd w:val="clear" w:color="auto" w:fill="FFFFFF"/>
        <w:spacing w:line="480" w:lineRule="atLeast"/>
        <w:jc w:val="left"/>
        <w:rPr>
          <w:rFonts w:hint="eastAsia" w:ascii="微软雅黑" w:hAnsi="微软雅黑" w:eastAsia="微软雅黑" w:cs="宋体"/>
          <w:color w:val="333333"/>
          <w:kern w:val="0"/>
          <w:sz w:val="24"/>
          <w:szCs w:val="24"/>
        </w:rPr>
      </w:pPr>
      <w:r>
        <w:rPr>
          <w:rFonts w:hint="eastAsia" w:ascii="微软雅黑" w:hAnsi="微软雅黑" w:eastAsia="微软雅黑" w:cs="宋体"/>
          <w:color w:val="333333"/>
          <w:kern w:val="0"/>
          <w:sz w:val="24"/>
          <w:szCs w:val="24"/>
        </w:rPr>
        <w:t>　　1.输入网址</w:t>
      </w:r>
    </w:p>
    <w:p w14:paraId="7D4824BE">
      <w:pPr>
        <w:widowControl/>
        <w:shd w:val="clear" w:color="auto" w:fill="FFFFFF"/>
        <w:spacing w:line="480" w:lineRule="atLeast"/>
        <w:jc w:val="left"/>
        <w:rPr>
          <w:rFonts w:hint="eastAsia" w:ascii="微软雅黑" w:hAnsi="微软雅黑" w:eastAsia="微软雅黑" w:cs="宋体"/>
          <w:color w:val="333333"/>
          <w:kern w:val="0"/>
          <w:sz w:val="24"/>
          <w:szCs w:val="24"/>
        </w:rPr>
      </w:pPr>
      <w:r>
        <w:rPr>
          <w:rFonts w:hint="eastAsia" w:ascii="微软雅黑" w:hAnsi="微软雅黑" w:eastAsia="微软雅黑" w:cs="宋体"/>
          <w:color w:val="333333"/>
          <w:kern w:val="0"/>
          <w:sz w:val="24"/>
          <w:szCs w:val="24"/>
        </w:rPr>
        <w:t>　　https://cmegsb.cma.org.cn/national_project/login.jsp</w:t>
      </w:r>
    </w:p>
    <w:p w14:paraId="48D6F8F6">
      <w:pPr>
        <w:widowControl/>
        <w:shd w:val="clear" w:color="auto" w:fill="FFFFFF"/>
        <w:spacing w:line="480" w:lineRule="atLeast"/>
        <w:jc w:val="left"/>
        <w:rPr>
          <w:rFonts w:hint="eastAsia" w:ascii="微软雅黑" w:hAnsi="微软雅黑" w:eastAsia="微软雅黑" w:cs="宋体"/>
          <w:color w:val="333333"/>
          <w:kern w:val="0"/>
          <w:sz w:val="24"/>
          <w:szCs w:val="24"/>
        </w:rPr>
      </w:pPr>
      <w:r>
        <w:rPr>
          <w:rFonts w:hint="eastAsia" w:ascii="微软雅黑" w:hAnsi="微软雅黑" w:eastAsia="微软雅黑" w:cs="宋体"/>
          <w:color w:val="333333"/>
          <w:kern w:val="0"/>
          <w:sz w:val="24"/>
          <w:szCs w:val="24"/>
        </w:rPr>
        <w:t>　　2.直接选择“学员学分查询/证书打印”(红框)</w:t>
      </w:r>
    </w:p>
    <w:p w14:paraId="0850E220">
      <w:pPr>
        <w:widowControl/>
        <w:shd w:val="clear" w:color="auto" w:fill="FFFFFF"/>
        <w:spacing w:line="480" w:lineRule="atLeast"/>
        <w:jc w:val="center"/>
        <w:rPr>
          <w:rFonts w:hint="eastAsia" w:ascii="微软雅黑" w:hAnsi="微软雅黑" w:eastAsia="微软雅黑" w:cs="宋体"/>
          <w:color w:val="333333"/>
          <w:kern w:val="0"/>
          <w:sz w:val="24"/>
          <w:szCs w:val="24"/>
        </w:rPr>
      </w:pPr>
      <w:r>
        <w:rPr>
          <w:rFonts w:ascii="微软雅黑" w:hAnsi="微软雅黑" w:eastAsia="微软雅黑" w:cs="宋体"/>
          <w:color w:val="333333"/>
          <w:kern w:val="0"/>
          <w:sz w:val="24"/>
          <w:szCs w:val="24"/>
        </w:rPr>
        <w:drawing>
          <wp:inline distT="0" distB="0" distL="0" distR="0">
            <wp:extent cx="5274310" cy="395414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3954145"/>
                    </a:xfrm>
                    <a:prstGeom prst="rect">
                      <a:avLst/>
                    </a:prstGeom>
                    <a:noFill/>
                    <a:ln>
                      <a:noFill/>
                    </a:ln>
                  </pic:spPr>
                </pic:pic>
              </a:graphicData>
            </a:graphic>
          </wp:inline>
        </w:drawing>
      </w:r>
    </w:p>
    <w:p w14:paraId="3274AC89">
      <w:pPr>
        <w:widowControl/>
        <w:shd w:val="clear" w:color="auto" w:fill="FFFFFF"/>
        <w:spacing w:line="480" w:lineRule="atLeast"/>
        <w:jc w:val="left"/>
        <w:rPr>
          <w:rFonts w:hint="eastAsia" w:ascii="微软雅黑" w:hAnsi="微软雅黑" w:eastAsia="微软雅黑" w:cs="宋体"/>
          <w:color w:val="333333"/>
          <w:kern w:val="0"/>
          <w:sz w:val="24"/>
          <w:szCs w:val="24"/>
        </w:rPr>
      </w:pPr>
      <w:r>
        <w:rPr>
          <w:rFonts w:hint="eastAsia" w:ascii="微软雅黑" w:hAnsi="微软雅黑" w:eastAsia="微软雅黑" w:cs="宋体"/>
          <w:color w:val="333333"/>
          <w:kern w:val="0"/>
          <w:sz w:val="24"/>
          <w:szCs w:val="24"/>
        </w:rPr>
        <w:t>　</w:t>
      </w:r>
      <w:r>
        <w:rPr>
          <w:rFonts w:hint="eastAsia" w:ascii="微软雅黑" w:hAnsi="微软雅黑" w:eastAsia="微软雅黑" w:cs="宋体"/>
          <w:b/>
          <w:bCs/>
          <w:color w:val="333333"/>
          <w:kern w:val="0"/>
          <w:sz w:val="24"/>
          <w:szCs w:val="24"/>
        </w:rPr>
        <w:t>　(二)领取步骤：</w:t>
      </w:r>
    </w:p>
    <w:p w14:paraId="1DC5C159">
      <w:pPr>
        <w:widowControl/>
        <w:shd w:val="clear" w:color="auto" w:fill="FFFFFF"/>
        <w:spacing w:line="480" w:lineRule="atLeast"/>
        <w:jc w:val="left"/>
        <w:rPr>
          <w:rFonts w:hint="eastAsia" w:ascii="微软雅黑" w:hAnsi="微软雅黑" w:eastAsia="微软雅黑" w:cs="宋体"/>
          <w:color w:val="333333"/>
          <w:kern w:val="0"/>
          <w:sz w:val="24"/>
          <w:szCs w:val="24"/>
        </w:rPr>
      </w:pPr>
      <w:r>
        <w:rPr>
          <w:rFonts w:hint="eastAsia" w:ascii="微软雅黑" w:hAnsi="微软雅黑" w:eastAsia="微软雅黑" w:cs="宋体"/>
          <w:color w:val="333333"/>
          <w:kern w:val="0"/>
          <w:sz w:val="24"/>
          <w:szCs w:val="24"/>
        </w:rPr>
        <w:t>　　1.点击学分查询</w:t>
      </w:r>
    </w:p>
    <w:p w14:paraId="7BD121E2">
      <w:pPr>
        <w:widowControl/>
        <w:shd w:val="clear" w:color="auto" w:fill="FFFFFF"/>
        <w:spacing w:line="480" w:lineRule="atLeast"/>
        <w:jc w:val="left"/>
        <w:rPr>
          <w:rFonts w:hint="eastAsia" w:ascii="微软雅黑" w:hAnsi="微软雅黑" w:eastAsia="微软雅黑" w:cs="宋体"/>
          <w:color w:val="333333"/>
          <w:kern w:val="0"/>
          <w:sz w:val="24"/>
          <w:szCs w:val="24"/>
        </w:rPr>
      </w:pPr>
      <w:r>
        <w:rPr>
          <w:rFonts w:hint="eastAsia" w:ascii="微软雅黑" w:hAnsi="微软雅黑" w:eastAsia="微软雅黑" w:cs="宋体"/>
          <w:color w:val="333333"/>
          <w:kern w:val="0"/>
          <w:sz w:val="24"/>
          <w:szCs w:val="24"/>
        </w:rPr>
        <w:t>　　输入项目编号+项目名称+学员姓名，点击查询</w:t>
      </w:r>
    </w:p>
    <w:p w14:paraId="78C2649D">
      <w:pPr>
        <w:widowControl/>
        <w:shd w:val="clear" w:color="auto" w:fill="FFFFFF"/>
        <w:spacing w:line="480" w:lineRule="atLeast"/>
        <w:jc w:val="center"/>
        <w:rPr>
          <w:rFonts w:hint="eastAsia" w:ascii="微软雅黑" w:hAnsi="微软雅黑" w:eastAsia="微软雅黑" w:cs="宋体"/>
          <w:color w:val="333333"/>
          <w:kern w:val="0"/>
          <w:sz w:val="24"/>
          <w:szCs w:val="24"/>
        </w:rPr>
      </w:pPr>
      <w:r>
        <w:drawing>
          <wp:inline distT="0" distB="0" distL="114300" distR="114300">
            <wp:extent cx="5513705" cy="900430"/>
            <wp:effectExtent l="0" t="0" r="10795"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l="-265" t="3258" r="47842" b="81527"/>
                    <a:stretch>
                      <a:fillRect/>
                    </a:stretch>
                  </pic:blipFill>
                  <pic:spPr>
                    <a:xfrm>
                      <a:off x="0" y="0"/>
                      <a:ext cx="5513705" cy="900430"/>
                    </a:xfrm>
                    <a:prstGeom prst="rect">
                      <a:avLst/>
                    </a:prstGeom>
                    <a:noFill/>
                    <a:ln>
                      <a:noFill/>
                    </a:ln>
                  </pic:spPr>
                </pic:pic>
              </a:graphicData>
            </a:graphic>
          </wp:inline>
        </w:drawing>
      </w:r>
    </w:p>
    <w:p w14:paraId="2D3C9EAB">
      <w:pPr>
        <w:widowControl/>
        <w:shd w:val="clear" w:color="auto" w:fill="FFFFFF"/>
        <w:spacing w:line="480" w:lineRule="atLeast"/>
        <w:jc w:val="left"/>
        <w:rPr>
          <w:rFonts w:hint="eastAsia" w:ascii="微软雅黑" w:hAnsi="微软雅黑" w:eastAsia="微软雅黑" w:cs="宋体"/>
          <w:color w:val="333333"/>
          <w:kern w:val="0"/>
          <w:sz w:val="24"/>
          <w:szCs w:val="24"/>
        </w:rPr>
      </w:pPr>
      <w:r>
        <w:rPr>
          <w:rFonts w:hint="eastAsia" w:ascii="微软雅黑" w:hAnsi="微软雅黑" w:eastAsia="微软雅黑" w:cs="宋体"/>
          <w:color w:val="333333"/>
          <w:kern w:val="0"/>
          <w:sz w:val="24"/>
          <w:szCs w:val="24"/>
        </w:rPr>
        <w:t>　　2.点击打印学分证，成功领取学分</w:t>
      </w:r>
    </w:p>
    <w:p w14:paraId="32DDB829">
      <w:pPr>
        <w:widowControl/>
        <w:shd w:val="clear" w:color="auto" w:fill="FFFFFF"/>
        <w:spacing w:line="480" w:lineRule="atLeast"/>
        <w:jc w:val="center"/>
        <w:rPr>
          <w:rFonts w:hint="eastAsia" w:ascii="微软雅黑" w:hAnsi="微软雅黑" w:eastAsia="微软雅黑" w:cs="宋体"/>
          <w:color w:val="333333"/>
          <w:kern w:val="0"/>
          <w:sz w:val="24"/>
          <w:szCs w:val="24"/>
        </w:rPr>
      </w:pPr>
      <w:r>
        <w:drawing>
          <wp:inline distT="0" distB="0" distL="114300" distR="114300">
            <wp:extent cx="5516245" cy="842010"/>
            <wp:effectExtent l="0" t="0" r="8255"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rcRect t="2893" b="69974"/>
                    <a:stretch>
                      <a:fillRect/>
                    </a:stretch>
                  </pic:blipFill>
                  <pic:spPr>
                    <a:xfrm>
                      <a:off x="0" y="0"/>
                      <a:ext cx="5516245" cy="842010"/>
                    </a:xfrm>
                    <a:prstGeom prst="rect">
                      <a:avLst/>
                    </a:prstGeom>
                    <a:noFill/>
                    <a:ln>
                      <a:noFill/>
                    </a:ln>
                  </pic:spPr>
                </pic:pic>
              </a:graphicData>
            </a:graphic>
          </wp:inline>
        </w:drawing>
      </w:r>
    </w:p>
    <w:p w14:paraId="39D0DE03">
      <w:pPr>
        <w:widowControl/>
        <w:shd w:val="clear" w:color="auto" w:fill="FFFFFF"/>
        <w:spacing w:line="480" w:lineRule="atLeast"/>
        <w:jc w:val="left"/>
        <w:rPr>
          <w:rFonts w:hint="eastAsia" w:ascii="微软雅黑" w:hAnsi="微软雅黑" w:eastAsia="微软雅黑" w:cs="宋体"/>
          <w:color w:val="333333"/>
          <w:kern w:val="0"/>
          <w:sz w:val="24"/>
          <w:szCs w:val="24"/>
        </w:rPr>
      </w:pPr>
      <w:r>
        <w:rPr>
          <w:rFonts w:hint="eastAsia" w:ascii="微软雅黑" w:hAnsi="微软雅黑" w:eastAsia="微软雅黑" w:cs="宋体"/>
          <w:color w:val="333333"/>
          <w:kern w:val="0"/>
          <w:sz w:val="24"/>
          <w:szCs w:val="24"/>
        </w:rPr>
        <w:t>　　3.证书样本</w:t>
      </w:r>
    </w:p>
    <w:p w14:paraId="5B27F939">
      <w:pPr>
        <w:widowControl/>
        <w:shd w:val="clear" w:color="auto" w:fill="FFFFFF"/>
        <w:spacing w:line="480" w:lineRule="atLeast"/>
        <w:jc w:val="center"/>
        <w:rPr>
          <w:rFonts w:hint="eastAsia" w:ascii="微软雅黑" w:hAnsi="微软雅黑" w:eastAsia="微软雅黑" w:cs="宋体"/>
          <w:color w:val="333333"/>
          <w:kern w:val="0"/>
          <w:sz w:val="24"/>
          <w:szCs w:val="24"/>
        </w:rPr>
      </w:pPr>
      <w:r>
        <w:rPr>
          <w:sz w:val="24"/>
          <w:szCs w:val="24"/>
        </w:rPr>
        <w:drawing>
          <wp:inline distT="0" distB="0" distL="114300" distR="114300">
            <wp:extent cx="5430520" cy="3662045"/>
            <wp:effectExtent l="0" t="0" r="1778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l="4340" t="11519" r="5160" b="59156"/>
                    <a:stretch>
                      <a:fillRect/>
                    </a:stretch>
                  </pic:blipFill>
                  <pic:spPr>
                    <a:xfrm>
                      <a:off x="0" y="0"/>
                      <a:ext cx="5430520" cy="3662045"/>
                    </a:xfrm>
                    <a:prstGeom prst="rect">
                      <a:avLst/>
                    </a:prstGeom>
                    <a:noFill/>
                    <a:ln>
                      <a:noFill/>
                    </a:ln>
                  </pic:spPr>
                </pic:pic>
              </a:graphicData>
            </a:graphic>
          </wp:inline>
        </w:drawing>
      </w:r>
    </w:p>
    <w:p w14:paraId="7D090289">
      <w:pPr>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auto"/>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kxMGIwY2ZlNzY3NmZmZGY3YTlhYzYyNWQ1NTkxNmMifQ=="/>
  </w:docVars>
  <w:rsids>
    <w:rsidRoot w:val="00034DC7"/>
    <w:rsid w:val="00034DC7"/>
    <w:rsid w:val="007D7B0D"/>
    <w:rsid w:val="00E50685"/>
    <w:rsid w:val="169938E0"/>
    <w:rsid w:val="23871813"/>
    <w:rsid w:val="3D053C2F"/>
    <w:rsid w:val="3FE70754"/>
    <w:rsid w:val="429B2D61"/>
    <w:rsid w:val="482E20D9"/>
    <w:rsid w:val="5D3C7BB3"/>
    <w:rsid w:val="5EB021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8"/>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6">
    <w:name w:val="Strong"/>
    <w:basedOn w:val="5"/>
    <w:qFormat/>
    <w:uiPriority w:val="22"/>
    <w:rPr>
      <w:b/>
      <w:bCs/>
    </w:rPr>
  </w:style>
  <w:style w:type="character" w:styleId="7">
    <w:name w:val="Hyperlink"/>
    <w:basedOn w:val="5"/>
    <w:semiHidden/>
    <w:unhideWhenUsed/>
    <w:qFormat/>
    <w:uiPriority w:val="99"/>
    <w:rPr>
      <w:color w:val="0000FF"/>
      <w:u w:val="single"/>
    </w:rPr>
  </w:style>
  <w:style w:type="character" w:customStyle="1" w:styleId="8">
    <w:name w:val="标题 1 字符"/>
    <w:basedOn w:val="5"/>
    <w:link w:val="2"/>
    <w:qFormat/>
    <w:uiPriority w:val="9"/>
    <w:rPr>
      <w:rFonts w:ascii="宋体" w:hAnsi="宋体" w:eastAsia="宋体" w:cs="宋体"/>
      <w:b/>
      <w:bCs/>
      <w:kern w:val="36"/>
      <w:sz w:val="48"/>
      <w:szCs w:val="48"/>
    </w:rPr>
  </w:style>
  <w:style w:type="paragraph" w:styleId="9">
    <w:name w:val="List Paragraph"/>
    <w:basedOn w:val="1"/>
    <w:qFormat/>
    <w:uiPriority w:val="34"/>
    <w:pPr>
      <w:ind w:firstLine="420" w:firstLineChars="200"/>
    </w:pPr>
  </w:style>
  <w:style w:type="character" w:customStyle="1" w:styleId="10">
    <w:name w:val="font11"/>
    <w:basedOn w:val="5"/>
    <w:qFormat/>
    <w:uiPriority w:val="0"/>
    <w:rPr>
      <w:rFonts w:hint="eastAsia" w:ascii="宋体" w:hAnsi="宋体" w:eastAsia="宋体" w:cs="宋体"/>
      <w:color w:val="333333"/>
      <w:sz w:val="24"/>
      <w:szCs w:val="24"/>
      <w:u w:val="none"/>
    </w:rPr>
  </w:style>
  <w:style w:type="character" w:customStyle="1" w:styleId="11">
    <w:name w:val="font21"/>
    <w:basedOn w:val="5"/>
    <w:qFormat/>
    <w:uiPriority w:val="0"/>
    <w:rPr>
      <w:rFonts w:hint="default" w:ascii="Verdana" w:hAnsi="Verdana" w:cs="Verdana"/>
      <w:color w:val="333333"/>
      <w:sz w:val="24"/>
      <w:szCs w:val="24"/>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723</Words>
  <Characters>1123</Characters>
  <Lines>2</Lines>
  <Paragraphs>1</Paragraphs>
  <TotalTime>1</TotalTime>
  <ScaleCrop>false</ScaleCrop>
  <LinksUpToDate>false</LinksUpToDate>
  <CharactersWithSpaces>1143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2023-02-08T08:38:00Z</dcterms:created>
  <dc:creator>zz 0324</dc:creator>
  <cp:lastModifiedBy>颖</cp:lastModifiedBy>
  <dcterms:modified xsi:type="dcterms:W3CDTF">2024-07-19T02:42:35Z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8CF5C6870B5046B887C3ED7ECEAD386D</vt:lpwstr>
  </property>
</Properties>
</file>